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_rels/footnotes.xml.rels" ContentType="application/vnd.openxmlformats-package.relationships+xml"/>
  <Override PartName="/word/embeddings/oleObject1.xlsx" ContentType="application/vnd.openxmlformats-officedocument.spreadsheetml.sheet"/>
  <Override PartName="/word/footnotes.xml" ContentType="application/vnd.openxmlformats-officedocument.wordprocessingml.footnotes+xml"/>
  <Override PartName="/word/media/image1.png" ContentType="image/png"/>
  <Override PartName="/word/media/image2.wmf" ContentType="image/x-wmf"/>
  <Override PartName="/word/media/image3.png" ContentType="image/png"/>
  <Override PartName="/word/media/image4.png" ContentType="image/png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tabs>
          <w:tab w:val="clear" w:pos="708"/>
          <w:tab w:val="left" w:pos="426" w:leader="none"/>
        </w:tabs>
        <w:spacing w:lineRule="auto" w:line="240" w:before="0" w:after="0"/>
        <w:jc w:val="right"/>
        <w:rPr/>
      </w:pPr>
      <w:r>
        <w:rPr>
          <w:rStyle w:val="Style15"/>
          <w:rFonts w:ascii="Times New Roman" w:hAnsi="Times New Roman"/>
          <w:iCs/>
          <w:shd w:fill="FFFFFF" w:val="clear"/>
        </w:rPr>
        <w:t>Приложение №</w:t>
      </w:r>
      <w:r>
        <w:rPr>
          <w:rStyle w:val="Style15"/>
          <w:rFonts w:ascii="Times New Roman" w:hAnsi="Times New Roman"/>
          <w:iCs/>
          <w:shd w:fill="FFFFFF" w:val="clear"/>
        </w:rPr>
        <w:t>4</w:t>
      </w:r>
    </w:p>
    <w:p>
      <w:pPr>
        <w:pStyle w:val="Normal"/>
        <w:widowControl w:val="false"/>
        <w:pBdr>
          <w:bottom w:val="single" w:sz="4" w:space="0" w:color="000000"/>
        </w:pBdr>
        <w:tabs>
          <w:tab w:val="clear" w:pos="708"/>
          <w:tab w:val="left" w:pos="426" w:leader="none"/>
        </w:tabs>
        <w:spacing w:lineRule="auto" w:line="240" w:before="0" w:after="0"/>
        <w:rPr>
          <w:rFonts w:ascii="Times New Roman" w:hAnsi="Times New Roman"/>
          <w:b/>
          <w:shd w:fill="FFFFFF" w:val="clear"/>
        </w:rPr>
      </w:pPr>
      <w:r>
        <w:rPr>
          <w:rFonts w:ascii="Times New Roman" w:hAnsi="Times New Roman"/>
          <w:b/>
          <w:shd w:fill="FFFFFF" w:val="clear"/>
        </w:rPr>
      </w:r>
    </w:p>
    <w:p>
      <w:pPr>
        <w:pStyle w:val="ConsPlusNormal1"/>
        <w:widowControl/>
        <w:tabs>
          <w:tab w:val="clear" w:pos="708"/>
          <w:tab w:val="left" w:pos="1260" w:leader="none"/>
        </w:tabs>
        <w:ind w:left="1260" w:hanging="1080"/>
        <w:jc w:val="center"/>
        <w:rPr>
          <w:rFonts w:ascii="Times New Roman" w:hAnsi="Times New Roman" w:cs="Times New Roman"/>
          <w:b/>
          <w:sz w:val="22"/>
          <w:szCs w:val="22"/>
          <w:shd w:fill="FFFFFF" w:val="clear"/>
        </w:rPr>
      </w:pPr>
      <w:r>
        <w:rPr>
          <w:rFonts w:cs="Times New Roman" w:ascii="Times New Roman" w:hAnsi="Times New Roman"/>
          <w:b/>
          <w:sz w:val="22"/>
          <w:szCs w:val="22"/>
          <w:shd w:fill="FFFFFF" w:val="clear"/>
        </w:rPr>
      </w:r>
    </w:p>
    <w:p>
      <w:pPr>
        <w:pStyle w:val="ConsPlusNormal1"/>
        <w:widowControl/>
        <w:tabs>
          <w:tab w:val="clear" w:pos="708"/>
          <w:tab w:val="left" w:pos="1260" w:leader="none"/>
        </w:tabs>
        <w:ind w:left="1260" w:hanging="1080"/>
        <w:jc w:val="center"/>
        <w:rPr>
          <w:shd w:fill="FFFFFF" w:val="clear"/>
        </w:rPr>
      </w:pPr>
      <w:r>
        <w:rPr>
          <w:rFonts w:cs="Times New Roman" w:ascii="Times New Roman" w:hAnsi="Times New Roman"/>
          <w:b/>
          <w:sz w:val="24"/>
          <w:szCs w:val="24"/>
          <w:shd w:fill="FFFFFF" w:val="clear"/>
        </w:rPr>
        <w:t>Требования к оформлению и составлению</w:t>
      </w:r>
    </w:p>
    <w:p>
      <w:pPr>
        <w:pStyle w:val="ConsPlusNormal1"/>
        <w:widowControl/>
        <w:tabs>
          <w:tab w:val="clear" w:pos="708"/>
          <w:tab w:val="left" w:pos="1620" w:leader="none"/>
        </w:tabs>
        <w:ind w:firstLine="180"/>
        <w:jc w:val="center"/>
        <w:rPr>
          <w:shd w:fill="FFFFFF" w:val="clear"/>
        </w:rPr>
      </w:pPr>
      <w:r>
        <w:rPr>
          <w:rFonts w:cs="Times New Roman" w:ascii="Times New Roman" w:hAnsi="Times New Roman"/>
          <w:b/>
          <w:sz w:val="24"/>
          <w:szCs w:val="24"/>
          <w:shd w:fill="FFFFFF" w:val="clear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  <w:shd w:fill="FFFFFF" w:val="clear"/>
        </w:rPr>
        <w:t xml:space="preserve">сметной документации на работы по программе реконструкции и техническому перевооружению </w:t>
      </w:r>
    </w:p>
    <w:p>
      <w:pPr>
        <w:pStyle w:val="ConsPlusNormal1"/>
        <w:widowControl/>
        <w:tabs>
          <w:tab w:val="clear" w:pos="708"/>
          <w:tab w:val="left" w:pos="1620" w:leader="none"/>
        </w:tabs>
        <w:ind w:firstLine="180"/>
        <w:jc w:val="both"/>
        <w:rPr>
          <w:rFonts w:ascii="Times New Roman" w:hAnsi="Times New Roman" w:cs="Times New Roman"/>
          <w:b/>
          <w:sz w:val="24"/>
          <w:szCs w:val="24"/>
          <w:shd w:fill="FFFFFF" w:val="clear"/>
        </w:rPr>
      </w:pPr>
      <w:r>
        <w:rPr>
          <w:rFonts w:cs="Times New Roman" w:ascii="Times New Roman" w:hAnsi="Times New Roman"/>
          <w:b/>
          <w:sz w:val="24"/>
          <w:szCs w:val="24"/>
          <w:shd w:fill="FFFFFF" w:val="clear"/>
        </w:rPr>
      </w:r>
    </w:p>
    <w:p>
      <w:pPr>
        <w:pStyle w:val="ConsPlusNormal1"/>
        <w:widowControl/>
        <w:numPr>
          <w:ilvl w:val="0"/>
          <w:numId w:val="8"/>
        </w:numPr>
        <w:tabs>
          <w:tab w:val="clear" w:pos="708"/>
          <w:tab w:val="left" w:pos="426" w:leader="none"/>
          <w:tab w:val="left" w:pos="993" w:leader="none"/>
        </w:tabs>
        <w:spacing w:before="40" w:after="40"/>
        <w:ind w:left="0" w:firstLine="709"/>
        <w:jc w:val="both"/>
        <w:rPr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  <w:shd w:fill="FFFFFF" w:val="clear"/>
        </w:rPr>
        <w:t>Настоящие требования разработаны для единого подхода к оформлению и составлению сметной документации на работы по реконструкции и техническому перевооружению.</w:t>
      </w:r>
    </w:p>
    <w:p>
      <w:pPr>
        <w:pStyle w:val="ConsPlusNormal1"/>
        <w:widowControl/>
        <w:numPr>
          <w:ilvl w:val="0"/>
          <w:numId w:val="8"/>
        </w:numPr>
        <w:tabs>
          <w:tab w:val="clear" w:pos="708"/>
          <w:tab w:val="left" w:pos="426" w:leader="none"/>
          <w:tab w:val="left" w:pos="993" w:leader="none"/>
        </w:tabs>
        <w:spacing w:before="40" w:after="40"/>
        <w:ind w:left="0" w:firstLine="709"/>
        <w:jc w:val="both"/>
        <w:rPr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  <w:shd w:fill="FFFFFF" w:val="clear"/>
        </w:rPr>
        <w:t>Использование норм</w:t>
      </w:r>
      <w:r>
        <w:rPr>
          <w:rFonts w:cs="Times New Roman" w:ascii="Times New Roman" w:hAnsi="Times New Roman"/>
          <w:color w:val="000000"/>
          <w:sz w:val="22"/>
          <w:szCs w:val="22"/>
          <w:shd w:fill="FFFFFF" w:val="clear"/>
        </w:rPr>
        <w:t xml:space="preserve">ативов ценообразования, не зарегистрированных и не вошедших в ФРСН, </w:t>
      </w:r>
      <w:r>
        <w:rPr>
          <w:rFonts w:cs="Times New Roman" w:ascii="Times New Roman" w:hAnsi="Times New Roman"/>
          <w:b/>
          <w:color w:val="000000"/>
          <w:sz w:val="22"/>
          <w:szCs w:val="22"/>
          <w:u w:val="single"/>
          <w:shd w:fill="FFFFFF" w:val="clear"/>
        </w:rPr>
        <w:t>не допускается</w:t>
      </w:r>
      <w:r>
        <w:rPr>
          <w:rFonts w:cs="Times New Roman" w:ascii="Times New Roman" w:hAnsi="Times New Roman"/>
          <w:color w:val="000000"/>
          <w:sz w:val="22"/>
          <w:szCs w:val="22"/>
          <w:shd w:fill="FFFFFF" w:val="clear"/>
        </w:rPr>
        <w:t>, кроме случаев, прямо указанных в настоящих требованиях.</w:t>
      </w:r>
    </w:p>
    <w:p>
      <w:pPr>
        <w:pStyle w:val="ConsPlusNormal1"/>
        <w:widowControl/>
        <w:numPr>
          <w:ilvl w:val="0"/>
          <w:numId w:val="8"/>
        </w:numPr>
        <w:tabs>
          <w:tab w:val="clear" w:pos="708"/>
          <w:tab w:val="left" w:pos="426" w:leader="none"/>
          <w:tab w:val="left" w:pos="993" w:leader="none"/>
        </w:tabs>
        <w:spacing w:before="40" w:after="40"/>
        <w:ind w:left="0" w:firstLine="709"/>
        <w:jc w:val="both"/>
        <w:rPr>
          <w:sz w:val="22"/>
          <w:szCs w:val="22"/>
        </w:rPr>
      </w:pPr>
      <w:r>
        <w:rPr>
          <w:rFonts w:cs="Times New Roman" w:ascii="Times New Roman" w:hAnsi="Times New Roman"/>
          <w:color w:val="000000"/>
          <w:sz w:val="22"/>
          <w:szCs w:val="22"/>
          <w:shd w:fill="FFFFFF" w:val="clear"/>
        </w:rPr>
        <w:t xml:space="preserve">Версия программного комплекса «Гранд-Смета» (далее–ПК «Гранд-смета») </w:t>
      </w:r>
      <w:r>
        <w:rPr>
          <w:rFonts w:cs="Times New Roman" w:ascii="Times New Roman" w:hAnsi="Times New Roman"/>
          <w:color w:val="000000"/>
          <w:sz w:val="22"/>
          <w:szCs w:val="22"/>
          <w:u w:val="single"/>
          <w:shd w:fill="FFFFFF" w:val="clear"/>
        </w:rPr>
        <w:t>должна быть не ниже 2025.2.</w:t>
      </w:r>
    </w:p>
    <w:p>
      <w:pPr>
        <w:pStyle w:val="ConsPlusNormal1"/>
        <w:widowControl/>
        <w:numPr>
          <w:ilvl w:val="0"/>
          <w:numId w:val="8"/>
        </w:numPr>
        <w:tabs>
          <w:tab w:val="clear" w:pos="708"/>
          <w:tab w:val="left" w:pos="426" w:leader="none"/>
          <w:tab w:val="left" w:pos="993" w:leader="none"/>
        </w:tabs>
        <w:spacing w:before="40" w:after="40"/>
        <w:ind w:left="0" w:firstLine="709"/>
        <w:jc w:val="both"/>
        <w:rPr>
          <w:sz w:val="22"/>
          <w:szCs w:val="22"/>
        </w:rPr>
      </w:pPr>
      <w:r>
        <w:rPr>
          <w:rFonts w:cs="Times New Roman" w:ascii="Times New Roman" w:hAnsi="Times New Roman"/>
          <w:color w:val="000000"/>
          <w:sz w:val="22"/>
          <w:szCs w:val="22"/>
          <w:shd w:fill="FFFFFF" w:val="clear"/>
        </w:rPr>
        <w:t>При составлении смет руководствоваться Методикой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введенной в действие Приказом Министерства строительства и ЖКХ РФ от 04.08.2020 № 421/пр. (далее - Методикой определения сметной стоимости строительства), с учетом изменений и дополнений.</w:t>
      </w:r>
    </w:p>
    <w:p>
      <w:pPr>
        <w:pStyle w:val="ConsPlusNormal1"/>
        <w:widowControl/>
        <w:numPr>
          <w:ilvl w:val="0"/>
          <w:numId w:val="8"/>
        </w:numPr>
        <w:tabs>
          <w:tab w:val="clear" w:pos="708"/>
          <w:tab w:val="left" w:pos="426" w:leader="none"/>
          <w:tab w:val="left" w:pos="993" w:leader="none"/>
        </w:tabs>
        <w:spacing w:before="40" w:after="40"/>
        <w:ind w:left="0" w:firstLine="709"/>
        <w:jc w:val="both"/>
        <w:rPr>
          <w:sz w:val="22"/>
          <w:szCs w:val="22"/>
        </w:rPr>
      </w:pPr>
      <w:r>
        <w:rPr>
          <w:rFonts w:cs="Times New Roman" w:ascii="Times New Roman" w:hAnsi="Times New Roman"/>
          <w:color w:val="000000"/>
          <w:sz w:val="22"/>
          <w:szCs w:val="22"/>
          <w:shd w:fill="FFFFFF" w:val="clear"/>
        </w:rPr>
        <w:t xml:space="preserve">При составлении сметной документации необходимо использовать актуальную сметно-нормативную базу ФСНБ-2022. </w:t>
      </w:r>
    </w:p>
    <w:p>
      <w:pPr>
        <w:pStyle w:val="ConsPlusNormal1"/>
        <w:numPr>
          <w:ilvl w:val="0"/>
          <w:numId w:val="8"/>
        </w:numPr>
        <w:tabs>
          <w:tab w:val="clear" w:pos="708"/>
          <w:tab w:val="left" w:pos="1134" w:leader="none"/>
        </w:tabs>
        <w:spacing w:before="40" w:after="40"/>
        <w:ind w:left="0" w:firstLine="709"/>
        <w:rPr>
          <w:sz w:val="22"/>
          <w:szCs w:val="22"/>
        </w:rPr>
      </w:pPr>
      <w:r>
        <w:rPr>
          <w:rFonts w:cs="Times New Roman" w:ascii="Times New Roman" w:hAnsi="Times New Roman"/>
          <w:color w:val="000000"/>
          <w:sz w:val="22"/>
          <w:szCs w:val="22"/>
          <w:shd w:fill="FFFFFF" w:val="clear"/>
        </w:rPr>
        <w:t xml:space="preserve">Определение сметной стоимости работ при реконструкции и техническом перевооружении определяется </w:t>
      </w:r>
      <w:bookmarkStart w:id="0" w:name="_Hlk80987880"/>
      <w:r>
        <w:rPr>
          <w:rFonts w:ascii="Times New Roman" w:hAnsi="Times New Roman"/>
          <w:b/>
          <w:bCs/>
          <w:color w:val="000000"/>
          <w:sz w:val="22"/>
          <w:szCs w:val="22"/>
          <w:u w:val="single"/>
          <w:shd w:fill="FFFFFF" w:val="clear"/>
        </w:rPr>
        <w:t>Ресурсно-индексным</w:t>
      </w:r>
      <w:r>
        <w:rPr>
          <w:rFonts w:ascii="Times New Roman" w:hAnsi="Times New Roman"/>
          <w:b/>
          <w:color w:val="000000"/>
          <w:sz w:val="22"/>
          <w:szCs w:val="22"/>
          <w:u w:val="single"/>
          <w:shd w:fill="FFFFFF" w:val="clear"/>
        </w:rPr>
        <w:t xml:space="preserve"> методом </w:t>
      </w:r>
      <w:r>
        <w:rPr>
          <w:rFonts w:ascii="Times New Roman" w:hAnsi="Times New Roman"/>
          <w:color w:val="000000"/>
          <w:sz w:val="22"/>
          <w:szCs w:val="22"/>
          <w:shd w:fill="FFFFFF" w:val="clear"/>
        </w:rPr>
        <w:t>- с использованием сметных норм, сметных цен строительных ресурсов в базисном уровне цен и одновременным применением информации о сметных ценах, размещенной в ФГИС ЦС, а также индексов изменения сметной стоимости к составляющим единичных расценок в базисном уровне цен. Сметная стоимость, определенная с применением ресурсно-индексного метода, приводится в ЛСР (ЛС) в текущем уровне цен</w:t>
      </w:r>
      <w:bookmarkEnd w:id="0"/>
      <w:r>
        <w:rPr>
          <w:rFonts w:ascii="Times New Roman" w:hAnsi="Times New Roman"/>
          <w:color w:val="000000"/>
          <w:sz w:val="22"/>
          <w:szCs w:val="22"/>
          <w:shd w:fill="FFFFFF" w:val="clear"/>
        </w:rPr>
        <w:t xml:space="preserve">. </w:t>
      </w:r>
    </w:p>
    <w:p>
      <w:pPr>
        <w:pStyle w:val="ConsPlusNormal1"/>
        <w:widowControl/>
        <w:numPr>
          <w:ilvl w:val="0"/>
          <w:numId w:val="8"/>
        </w:numPr>
        <w:tabs>
          <w:tab w:val="clear" w:pos="708"/>
          <w:tab w:val="left" w:pos="426" w:leader="none"/>
          <w:tab w:val="left" w:pos="993" w:leader="none"/>
        </w:tabs>
        <w:spacing w:before="40" w:after="40"/>
        <w:ind w:left="0" w:firstLine="567"/>
        <w:jc w:val="both"/>
        <w:rPr>
          <w:sz w:val="22"/>
          <w:szCs w:val="22"/>
        </w:rPr>
      </w:pPr>
      <w:r>
        <w:rPr>
          <w:rFonts w:cs="Times New Roman" w:ascii="Times New Roman" w:hAnsi="Times New Roman"/>
          <w:color w:val="000000"/>
          <w:sz w:val="22"/>
          <w:szCs w:val="22"/>
          <w:shd w:fill="FFFFFF" w:val="clear"/>
        </w:rPr>
        <w:t xml:space="preserve">Применение индексов пересчета в текущие цены </w:t>
      </w:r>
      <w:r>
        <w:rPr>
          <w:rFonts w:cs="Times New Roman" w:ascii="Times New Roman" w:hAnsi="Times New Roman"/>
          <w:b/>
          <w:color w:val="000000"/>
          <w:sz w:val="22"/>
          <w:szCs w:val="22"/>
          <w:shd w:fill="FFFFFF" w:val="clear"/>
        </w:rPr>
        <w:t>ресурсно-индексным</w:t>
      </w:r>
      <w:r>
        <w:rPr>
          <w:rFonts w:cs="Times New Roman" w:ascii="Times New Roman" w:hAnsi="Times New Roman"/>
          <w:color w:val="000000"/>
          <w:sz w:val="22"/>
          <w:szCs w:val="22"/>
          <w:shd w:fill="FFFFFF" w:val="clear"/>
        </w:rPr>
        <w:t xml:space="preserve"> методом применяются индексы изменения сметной стоимости на текущий период (при наличии) для соответствующих видов объектов капитального строительства и субъектов Российской Федерации (частей территорий субъектов Российской Федерации), либо индексы, сведения о которых последними включены в ФРСН:</w:t>
      </w:r>
    </w:p>
    <w:p>
      <w:pPr>
        <w:pStyle w:val="ConsPlusNormal1"/>
        <w:numPr>
          <w:ilvl w:val="0"/>
          <w:numId w:val="13"/>
        </w:numPr>
        <w:tabs>
          <w:tab w:val="clear" w:pos="708"/>
          <w:tab w:val="left" w:pos="426" w:leader="none"/>
          <w:tab w:val="left" w:pos="993" w:leader="none"/>
        </w:tabs>
        <w:rPr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  <w:shd w:fill="FFFFFF" w:val="clear"/>
        </w:rPr>
        <w:t>индексы к отдельным строительным ресурсам, индексы к группам строительных ресурсов</w:t>
      </w:r>
      <w:r>
        <w:rPr>
          <w:rFonts w:ascii="Times New Roman" w:hAnsi="Times New Roman"/>
          <w:b/>
          <w:color w:val="000000"/>
          <w:sz w:val="22"/>
          <w:szCs w:val="22"/>
          <w:shd w:fill="FFFFFF" w:val="clear"/>
        </w:rPr>
        <w:t xml:space="preserve"> (индексы к сметной стоимости отдельных материалов, изделий, конструкций, оборудования, эксплуатации машин и механизмов или к стоимости однородных групп таких строительных ресурсов)</w:t>
      </w:r>
      <w:r>
        <w:rPr>
          <w:rFonts w:ascii="Times New Roman" w:hAnsi="Times New Roman"/>
          <w:color w:val="000000"/>
          <w:sz w:val="22"/>
          <w:szCs w:val="22"/>
          <w:shd w:fill="FFFFFF" w:val="clear"/>
        </w:rPr>
        <w:t>;</w:t>
      </w:r>
    </w:p>
    <w:p>
      <w:pPr>
        <w:pStyle w:val="ConsPlusNormal1"/>
        <w:numPr>
          <w:ilvl w:val="0"/>
          <w:numId w:val="13"/>
        </w:numPr>
        <w:tabs>
          <w:tab w:val="clear" w:pos="708"/>
          <w:tab w:val="left" w:pos="426" w:leader="none"/>
          <w:tab w:val="left" w:pos="993" w:leader="none"/>
        </w:tabs>
        <w:rPr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  <w:shd w:fill="FFFFFF" w:val="clear"/>
        </w:rPr>
        <w:t xml:space="preserve">индексы изменения сметных цен </w:t>
      </w:r>
      <w:r>
        <w:rPr>
          <w:rFonts w:ascii="Times New Roman" w:hAnsi="Times New Roman"/>
          <w:b/>
          <w:color w:val="000000"/>
          <w:sz w:val="22"/>
          <w:szCs w:val="22"/>
          <w:shd w:fill="FFFFFF" w:val="clear"/>
        </w:rPr>
        <w:t>на перевозку грузов</w:t>
      </w:r>
      <w:r>
        <w:rPr>
          <w:rFonts w:ascii="Times New Roman" w:hAnsi="Times New Roman"/>
          <w:color w:val="000000"/>
          <w:sz w:val="22"/>
          <w:szCs w:val="22"/>
          <w:shd w:fill="FFFFFF" w:val="clear"/>
        </w:rPr>
        <w:t xml:space="preserve"> – применяются к сметной стоимости затрат на перевозку грузов для строительства автомобильным транспортом, в том числе на дополнительное расстояние, сверх учтенного сметными ценами на материальные ресурсы и оборудование, в соответствии с типом автотранспортных средств;</w:t>
      </w:r>
    </w:p>
    <w:p>
      <w:pPr>
        <w:pStyle w:val="ConsPlusNormal1"/>
        <w:numPr>
          <w:ilvl w:val="0"/>
          <w:numId w:val="13"/>
        </w:numPr>
        <w:tabs>
          <w:tab w:val="clear" w:pos="708"/>
          <w:tab w:val="left" w:pos="426" w:leader="none"/>
          <w:tab w:val="left" w:pos="993" w:leader="none"/>
        </w:tabs>
        <w:rPr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  <w:shd w:fill="FFFFFF" w:val="clear"/>
        </w:rPr>
        <w:t xml:space="preserve">индексы изменения сметной </w:t>
      </w:r>
      <w:r>
        <w:rPr>
          <w:rFonts w:ascii="Times New Roman" w:hAnsi="Times New Roman"/>
          <w:b/>
          <w:color w:val="000000"/>
          <w:sz w:val="22"/>
          <w:szCs w:val="22"/>
          <w:shd w:fill="FFFFFF" w:val="clear"/>
        </w:rPr>
        <w:t>стоимости оборудования</w:t>
      </w:r>
      <w:r>
        <w:rPr>
          <w:rFonts w:ascii="Times New Roman" w:hAnsi="Times New Roman"/>
          <w:color w:val="000000"/>
          <w:sz w:val="22"/>
          <w:szCs w:val="22"/>
          <w:shd w:fill="FFFFFF" w:val="clear"/>
        </w:rPr>
        <w:t xml:space="preserve"> – применяются к сметной стоимости оборудования;</w:t>
      </w:r>
    </w:p>
    <w:p>
      <w:pPr>
        <w:pStyle w:val="ConsPlusNormal1"/>
        <w:numPr>
          <w:ilvl w:val="0"/>
          <w:numId w:val="13"/>
        </w:numPr>
        <w:tabs>
          <w:tab w:val="clear" w:pos="708"/>
          <w:tab w:val="left" w:pos="426" w:leader="none"/>
          <w:tab w:val="left" w:pos="993" w:leader="none"/>
        </w:tabs>
        <w:rPr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  <w:shd w:fill="FFFFFF" w:val="clear"/>
        </w:rPr>
        <w:t xml:space="preserve">индексы изменения сметной стоимости, рассчитываемые для применения к сметной стоимости отдельных видов </w:t>
      </w:r>
      <w:r>
        <w:rPr>
          <w:rFonts w:ascii="Times New Roman" w:hAnsi="Times New Roman"/>
          <w:b/>
          <w:color w:val="000000"/>
          <w:sz w:val="22"/>
          <w:szCs w:val="22"/>
          <w:shd w:fill="FFFFFF" w:val="clear"/>
        </w:rPr>
        <w:t>прочих работ и затрат.</w:t>
      </w:r>
    </w:p>
    <w:p>
      <w:pPr>
        <w:pStyle w:val="ListParagraph"/>
        <w:numPr>
          <w:ilvl w:val="0"/>
          <w:numId w:val="8"/>
        </w:numPr>
        <w:tabs>
          <w:tab w:val="clear" w:pos="708"/>
          <w:tab w:val="left" w:pos="284" w:leader="none"/>
          <w:tab w:val="left" w:pos="1134" w:leader="none"/>
        </w:tabs>
        <w:spacing w:lineRule="auto" w:line="240" w:before="40" w:after="40"/>
        <w:ind w:left="0" w:firstLine="709"/>
        <w:contextualSpacing w:val="false"/>
        <w:jc w:val="both"/>
        <w:rPr/>
      </w:pPr>
      <w:r>
        <w:rPr>
          <w:rFonts w:ascii="Times New Roman" w:hAnsi="Times New Roman"/>
          <w:color w:val="000000"/>
          <w:shd w:fill="FFFFFF" w:val="clear"/>
        </w:rPr>
        <w:t>В сметной документации используются:</w:t>
      </w:r>
    </w:p>
    <w:p>
      <w:pPr>
        <w:pStyle w:val="ListParagraph"/>
        <w:tabs>
          <w:tab w:val="clear" w:pos="708"/>
          <w:tab w:val="left" w:pos="853" w:leader="none"/>
        </w:tabs>
        <w:spacing w:lineRule="auto" w:line="240" w:before="40" w:after="40"/>
        <w:ind w:left="1077" w:hanging="0"/>
        <w:contextualSpacing w:val="false"/>
        <w:jc w:val="both"/>
        <w:rPr/>
      </w:pPr>
      <w:r>
        <w:rPr>
          <w:rFonts w:ascii="Times New Roman" w:hAnsi="Times New Roman"/>
          <w:color w:val="000000"/>
          <w:shd w:fill="FFFFFF" w:val="clear"/>
        </w:rPr>
        <w:t>•</w:t>
      </w:r>
      <w:r>
        <w:rPr>
          <w:rFonts w:ascii="Times New Roman" w:hAnsi="Times New Roman"/>
          <w:color w:val="000000"/>
          <w:shd w:fill="FFFFFF" w:val="clear"/>
        </w:rPr>
        <w:tab/>
      </w:r>
      <w:r>
        <w:rPr>
          <w:rFonts w:ascii="Times New Roman" w:hAnsi="Times New Roman"/>
          <w:i/>
          <w:iCs/>
          <w:color w:val="000000"/>
          <w:shd w:fill="FFFFFF" w:val="clear"/>
        </w:rPr>
        <w:t>индексы фактической инфляции</w:t>
      </w:r>
      <w:r>
        <w:rPr>
          <w:rFonts w:ascii="Times New Roman" w:hAnsi="Times New Roman"/>
          <w:color w:val="000000"/>
          <w:shd w:fill="FFFFFF" w:val="clear"/>
        </w:rPr>
        <w:t xml:space="preserve"> (опубликованные на сайте https://www.fedstat.ru/, индексы цен на продукцию (затраты, услуги) инвестиционного назначения с 2017г., по Российской Федерации в целом, с учетом вида экономической деятельности)</w:t>
      </w:r>
    </w:p>
    <w:p>
      <w:pPr>
        <w:pStyle w:val="ListParagraph"/>
        <w:tabs>
          <w:tab w:val="clear" w:pos="708"/>
          <w:tab w:val="left" w:pos="853" w:leader="none"/>
        </w:tabs>
        <w:spacing w:lineRule="auto" w:line="240" w:before="40" w:after="40"/>
        <w:ind w:left="1077" w:hanging="0"/>
        <w:contextualSpacing w:val="false"/>
        <w:jc w:val="both"/>
        <w:rPr/>
      </w:pPr>
      <w:r>
        <w:rPr>
          <w:rFonts w:ascii="Times New Roman" w:hAnsi="Times New Roman"/>
          <w:color w:val="000000"/>
          <w:shd w:fill="FFFFFF" w:val="clear"/>
        </w:rPr>
        <w:t>•</w:t>
      </w:r>
      <w:r>
        <w:rPr>
          <w:rFonts w:ascii="Times New Roman" w:hAnsi="Times New Roman"/>
          <w:color w:val="000000"/>
          <w:shd w:fill="FFFFFF" w:val="clear"/>
        </w:rPr>
        <w:tab/>
      </w:r>
      <w:r>
        <w:rPr>
          <w:rFonts w:ascii="Times New Roman" w:hAnsi="Times New Roman"/>
          <w:i/>
          <w:iCs/>
          <w:color w:val="000000"/>
          <w:shd w:fill="FFFFFF" w:val="clear"/>
        </w:rPr>
        <w:t xml:space="preserve">индексы прогнозной инфляции в соответствии с прогнозом Министерства экономического развития РФ </w:t>
      </w:r>
      <w:r>
        <w:rPr>
          <w:rFonts w:ascii="Times New Roman" w:hAnsi="Times New Roman"/>
          <w:color w:val="000000"/>
          <w:shd w:fill="FFFFFF" w:val="clear"/>
        </w:rPr>
        <w:t>(прогноз «базовый», определенные в установленном порядке для Заказчика (в соответствии с планируемым периодом выполнения работ).</w:t>
      </w:r>
    </w:p>
    <w:p>
      <w:pPr>
        <w:pStyle w:val="ListParagraph"/>
        <w:spacing w:lineRule="auto" w:line="240" w:before="40" w:after="40"/>
        <w:ind w:left="0" w:hanging="0"/>
        <w:contextualSpacing w:val="false"/>
        <w:jc w:val="both"/>
        <w:rPr/>
      </w:pPr>
      <w:r>
        <w:rPr>
          <w:rFonts w:ascii="Times New Roman" w:hAnsi="Times New Roman"/>
          <w:color w:val="000000"/>
          <w:shd w:fill="FFFFFF" w:val="clear"/>
        </w:rPr>
        <w:t xml:space="preserve">          </w:t>
      </w:r>
      <w:r>
        <w:rPr>
          <w:rFonts w:ascii="Times New Roman" w:hAnsi="Times New Roman"/>
          <w:color w:val="000000"/>
          <w:shd w:fill="FFFFFF" w:val="clear"/>
        </w:rPr>
        <w:t xml:space="preserve">При отсутствии, на требуемый период, индексов прогнозной инфляции Министерства экономического развития РФ допустимо применение индексов, утверждённых </w:t>
      </w:r>
      <w:r>
        <w:rPr>
          <w:rFonts w:ascii="Times New Roman" w:hAnsi="Times New Roman"/>
          <w:i/>
          <w:iCs/>
          <w:color w:val="000000"/>
          <w:shd w:fill="FFFFFF" w:val="clear"/>
        </w:rPr>
        <w:t>Едиными сценарными условиями Группы РусГидро</w:t>
      </w:r>
      <w:r>
        <w:rPr>
          <w:rFonts w:ascii="Times New Roman" w:hAnsi="Times New Roman"/>
          <w:color w:val="000000"/>
          <w:shd w:fill="FFFFFF" w:val="clear"/>
        </w:rPr>
        <w:t>, актуальными на момент составления сметной документации.</w:t>
      </w:r>
    </w:p>
    <w:p>
      <w:pPr>
        <w:pStyle w:val="ListParagraph"/>
        <w:spacing w:lineRule="auto" w:line="240" w:before="40" w:after="40"/>
        <w:ind w:left="0" w:hanging="0"/>
        <w:contextualSpacing w:val="false"/>
        <w:rPr/>
      </w:pPr>
      <w:r>
        <w:rPr>
          <w:rFonts w:ascii="Times New Roman" w:hAnsi="Times New Roman"/>
          <w:color w:val="000000"/>
          <w:shd w:fill="FFFFFF" w:val="clear"/>
        </w:rPr>
        <w:t xml:space="preserve">               </w:t>
      </w:r>
      <w:r>
        <w:rPr>
          <w:rFonts w:ascii="Times New Roman" w:hAnsi="Times New Roman"/>
          <w:color w:val="000000"/>
          <w:shd w:fill="FFFFFF" w:val="clear"/>
        </w:rPr>
        <w:t xml:space="preserve">Расчёт выполнен в соответствии с образцом, указанным в </w:t>
      </w:r>
      <w:r>
        <w:rPr>
          <w:rFonts w:ascii="Times New Roman" w:hAnsi="Times New Roman"/>
          <w:b/>
          <w:bCs/>
          <w:color w:val="000000"/>
          <w:shd w:fill="FFFFFF" w:val="clear"/>
        </w:rPr>
        <w:t>Приложении №4</w:t>
      </w:r>
      <w:r>
        <w:rPr>
          <w:rFonts w:ascii="Times New Roman" w:hAnsi="Times New Roman"/>
          <w:color w:val="000000"/>
          <w:shd w:fill="FFFFFF" w:val="clear"/>
        </w:rPr>
        <w:t xml:space="preserve"> к настоящим требованиям.</w:t>
      </w:r>
    </w:p>
    <w:p>
      <w:pPr>
        <w:pStyle w:val="ConsPlusNormal1"/>
        <w:widowControl/>
        <w:numPr>
          <w:ilvl w:val="0"/>
          <w:numId w:val="8"/>
        </w:numPr>
        <w:tabs>
          <w:tab w:val="clear" w:pos="708"/>
          <w:tab w:val="left" w:pos="284" w:leader="none"/>
          <w:tab w:val="left" w:pos="1134" w:leader="none"/>
        </w:tabs>
        <w:spacing w:before="40" w:after="40"/>
        <w:ind w:left="0" w:firstLine="709"/>
        <w:jc w:val="both"/>
        <w:rPr>
          <w:sz w:val="22"/>
          <w:szCs w:val="22"/>
        </w:rPr>
      </w:pPr>
      <w:r>
        <w:rPr>
          <w:rFonts w:cs="Times New Roman" w:ascii="Times New Roman" w:hAnsi="Times New Roman"/>
          <w:color w:val="000000"/>
          <w:sz w:val="22"/>
          <w:szCs w:val="22"/>
          <w:shd w:fill="FFFFFF" w:val="clear"/>
        </w:rPr>
        <w:t xml:space="preserve">При отсутствии в ФГИС ЦС и ФСБЦ-2022, данных о сметных ценах на отдельные материальные ресурсы и оборудование, а также сметных нормативов на отдельные виды услуг, их сметная стоимость определяется по среднерыночной цене, определенной Методом анализа ТКП в соответствии с </w:t>
      </w:r>
      <w:r>
        <w:rPr>
          <w:rFonts w:cs="Times New Roman" w:ascii="Times New Roman" w:hAnsi="Times New Roman"/>
          <w:b/>
          <w:bCs/>
          <w:color w:val="000000"/>
          <w:sz w:val="22"/>
          <w:szCs w:val="22"/>
          <w:shd w:fill="FFFFFF" w:val="clear"/>
        </w:rPr>
        <w:t>Приложением №3</w:t>
      </w:r>
      <w:r>
        <w:rPr>
          <w:rFonts w:cs="Times New Roman" w:ascii="Times New Roman" w:hAnsi="Times New Roman"/>
          <w:color w:val="000000"/>
          <w:sz w:val="22"/>
          <w:szCs w:val="22"/>
          <w:shd w:fill="FFFFFF" w:val="clear"/>
        </w:rPr>
        <w:t>.</w:t>
      </w:r>
    </w:p>
    <w:p>
      <w:pPr>
        <w:pStyle w:val="ConsPlusNormal1"/>
        <w:widowControl/>
        <w:numPr>
          <w:ilvl w:val="0"/>
          <w:numId w:val="8"/>
        </w:numPr>
        <w:tabs>
          <w:tab w:val="clear" w:pos="708"/>
          <w:tab w:val="left" w:pos="284" w:leader="none"/>
          <w:tab w:val="left" w:pos="1134" w:leader="none"/>
        </w:tabs>
        <w:spacing w:before="40" w:after="40"/>
        <w:ind w:left="0" w:firstLine="709"/>
        <w:jc w:val="both"/>
        <w:rPr>
          <w:sz w:val="22"/>
          <w:szCs w:val="22"/>
        </w:rPr>
      </w:pPr>
      <w:r>
        <w:rPr>
          <w:rFonts w:cs="Times New Roman" w:ascii="Times New Roman" w:hAnsi="Times New Roman"/>
          <w:color w:val="000000"/>
          <w:sz w:val="22"/>
          <w:szCs w:val="22"/>
          <w:shd w:fill="FFFFFF" w:val="clear"/>
        </w:rPr>
        <w:t>Сметная цена материальных ресурсов и (или) оборудования (далее –МТР), закупаемых на территории региона субъекта Российской Федерации, определяется в базисном уровне цен по состоянию на 01.01.2022 с использованием ФСБЦ-2022, с применением индексов по группам однородных строительных ресурсов, размещенных в федеральной государственной информационной системе ценообразования в строительстве (далее – ФГИС ЦС) по субъекту Российской Федерации. При отсутствии информации о сметных ценах в ФСБЦ по материальным ресурсам и оборудованию, их сметная цена формируется Методом анализа ТКП (не менее, чем из трех ИЦИ) в соответствии с Приложением №3 к Требованиям к оформлению и составлению сметной документации на выполнение работ по программе реконструкции и технического перевооружения.</w:t>
      </w:r>
    </w:p>
    <w:p>
      <w:pPr>
        <w:pStyle w:val="Normal"/>
        <w:spacing w:lineRule="auto" w:line="240" w:before="0" w:after="0"/>
        <w:contextualSpacing/>
        <w:jc w:val="both"/>
        <w:rPr/>
      </w:pPr>
      <w:r>
        <w:rPr>
          <w:rFonts w:ascii="Times New Roman" w:hAnsi="Times New Roman"/>
          <w:lang w:eastAsia="zh-CN"/>
        </w:rPr>
        <w:t xml:space="preserve">         </w:t>
      </w:r>
      <w:r>
        <w:rPr>
          <w:rFonts w:ascii="Times New Roman" w:hAnsi="Times New Roman"/>
          <w:lang w:eastAsia="zh-CN"/>
        </w:rPr>
        <w:t xml:space="preserve">11. </w:t>
      </w:r>
      <w:r>
        <w:rPr>
          <w:rFonts w:ascii="Times New Roman" w:hAnsi="Times New Roman"/>
          <w:shd w:fill="FFFFFF" w:val="clear"/>
        </w:rPr>
        <w:t>Сметная стоимость материальных ресурсов и индивидуального стандартизированного (адаптированного) оборудования в текущем уровне цен, информация о которых отсутствует в ФРСН, определяется с учетом транспортных и заготовительно-складских затрат.</w:t>
      </w:r>
      <w:r>
        <w:rPr>
          <w:rFonts w:ascii="Times New Roman" w:hAnsi="Times New Roman"/>
          <w:color w:val="FF0000"/>
          <w:shd w:fill="FFFFFF" w:val="clear"/>
        </w:rPr>
        <w:t xml:space="preserve"> </w:t>
      </w:r>
    </w:p>
    <w:p>
      <w:pPr>
        <w:pStyle w:val="ListParagraph"/>
        <w:tabs>
          <w:tab w:val="clear" w:pos="708"/>
          <w:tab w:val="left" w:pos="284" w:leader="none"/>
          <w:tab w:val="left" w:pos="1134" w:leader="none"/>
        </w:tabs>
        <w:spacing w:lineRule="auto" w:line="240" w:before="40" w:after="40"/>
        <w:ind w:left="0" w:hanging="0"/>
        <w:contextualSpacing w:val="false"/>
        <w:jc w:val="both"/>
        <w:rPr/>
      </w:pPr>
      <w:r>
        <w:rPr>
          <w:rFonts w:ascii="Times New Roman" w:hAnsi="Times New Roman"/>
          <w:shd w:fill="FFFFFF" w:val="clear"/>
        </w:rPr>
        <w:t xml:space="preserve">          </w:t>
      </w:r>
      <w:r>
        <w:rPr>
          <w:rFonts w:ascii="Times New Roman" w:hAnsi="Times New Roman"/>
          <w:shd w:fill="FFFFFF" w:val="clear"/>
        </w:rPr>
        <w:t>12. Транспортные затраты определяются следующими методами:</w:t>
      </w:r>
    </w:p>
    <w:p>
      <w:pPr>
        <w:pStyle w:val="ListParagraph"/>
        <w:tabs>
          <w:tab w:val="clear" w:pos="708"/>
          <w:tab w:val="left" w:pos="284" w:leader="none"/>
          <w:tab w:val="left" w:pos="1134" w:leader="none"/>
        </w:tabs>
        <w:spacing w:lineRule="auto" w:line="240" w:before="40" w:after="40"/>
        <w:ind w:left="0" w:hanging="0"/>
        <w:contextualSpacing w:val="false"/>
        <w:jc w:val="both"/>
        <w:rPr/>
      </w:pPr>
      <w:r>
        <w:rPr>
          <w:rFonts w:ascii="Times New Roman" w:hAnsi="Times New Roman"/>
          <w:b/>
          <w:shd w:fill="FFFFFF" w:val="clear"/>
        </w:rPr>
        <w:t xml:space="preserve">               </w:t>
      </w:r>
      <w:r>
        <w:rPr>
          <w:rFonts w:ascii="Times New Roman" w:hAnsi="Times New Roman"/>
          <w:b/>
          <w:shd w:fill="FFFFFF" w:val="clear"/>
        </w:rPr>
        <w:t>12.1. по доставке материальных ресурсов:</w:t>
      </w:r>
      <w:r>
        <w:rPr>
          <w:rFonts w:ascii="Times New Roman" w:hAnsi="Times New Roman"/>
          <w:shd w:fill="FFFFFF" w:val="clear"/>
        </w:rPr>
        <w:t xml:space="preserve"> </w:t>
      </w:r>
    </w:p>
    <w:p>
      <w:pPr>
        <w:pStyle w:val="ConsPlusNormal1"/>
        <w:numPr>
          <w:ilvl w:val="0"/>
          <w:numId w:val="11"/>
        </w:numPr>
        <w:tabs>
          <w:tab w:val="clear" w:pos="708"/>
          <w:tab w:val="left" w:pos="1134" w:leader="none"/>
        </w:tabs>
        <w:spacing w:before="40" w:after="40"/>
        <w:ind w:left="0" w:firstLine="709"/>
        <w:jc w:val="both"/>
        <w:rPr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  <w:shd w:fill="FFFFFF" w:val="clear"/>
        </w:rPr>
        <w:t>расчетом с учетом расстояния перевозки, класса грузов, типа транспорта, наличии погрузо-разгрузочных работ, информации о ценах на услуги на перевозку грузов, в зависимости от вида транспорта (ж/д, автомобильный, речной, морской, воздушный), в соответствии со сметными нормативами, включенными в ФРСН;</w:t>
      </w:r>
    </w:p>
    <w:p>
      <w:pPr>
        <w:pStyle w:val="ConsPlusNormal1"/>
        <w:widowControl/>
        <w:numPr>
          <w:ilvl w:val="0"/>
          <w:numId w:val="11"/>
        </w:numPr>
        <w:tabs>
          <w:tab w:val="clear" w:pos="708"/>
          <w:tab w:val="left" w:pos="1134" w:leader="none"/>
        </w:tabs>
        <w:spacing w:before="40" w:after="40"/>
        <w:ind w:left="0" w:firstLine="709"/>
        <w:jc w:val="both"/>
        <w:rPr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  <w:shd w:fill="FFFFFF" w:val="clear"/>
        </w:rPr>
        <w:t xml:space="preserve">Методом анализа ТКП </w:t>
      </w:r>
      <w:r>
        <w:rPr>
          <w:rFonts w:ascii="Times New Roman" w:hAnsi="Times New Roman"/>
          <w:sz w:val="22"/>
          <w:szCs w:val="22"/>
          <w:shd w:fill="FFFFFF" w:val="clear"/>
        </w:rPr>
        <w:t>(не менее, чем из трех ИЦИ) в соответствии с Приложением №3 к Требованиям к оформлению и составлению сметной документации на выполнение работ по программе реконструкции и технического перевооружения</w:t>
      </w:r>
      <w:r>
        <w:rPr>
          <w:rFonts w:cs="Times New Roman" w:ascii="Times New Roman" w:hAnsi="Times New Roman"/>
          <w:sz w:val="22"/>
          <w:szCs w:val="22"/>
          <w:shd w:fill="FFFFFF" w:val="clear"/>
        </w:rPr>
        <w:t>;</w:t>
      </w:r>
    </w:p>
    <w:p>
      <w:pPr>
        <w:pStyle w:val="ConsPlusNormal1"/>
        <w:widowControl/>
        <w:numPr>
          <w:ilvl w:val="0"/>
          <w:numId w:val="11"/>
        </w:numPr>
        <w:tabs>
          <w:tab w:val="clear" w:pos="708"/>
          <w:tab w:val="left" w:pos="1134" w:leader="none"/>
        </w:tabs>
        <w:spacing w:before="40" w:after="40"/>
        <w:ind w:left="0" w:firstLine="709"/>
        <w:jc w:val="both"/>
        <w:rPr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  <w:shd w:fill="FFFFFF" w:val="clear"/>
        </w:rPr>
        <w:t>в размере до 3-х процентов от отпускной цены материальных ресурсов (при невозможности определить затраты указанными выше способами), по решению заказчика.</w:t>
      </w:r>
    </w:p>
    <w:p>
      <w:pPr>
        <w:pStyle w:val="ListParagraph"/>
        <w:tabs>
          <w:tab w:val="clear" w:pos="708"/>
          <w:tab w:val="left" w:pos="284" w:leader="none"/>
          <w:tab w:val="left" w:pos="1134" w:leader="none"/>
        </w:tabs>
        <w:spacing w:lineRule="auto" w:line="240" w:before="40" w:after="40"/>
        <w:ind w:left="0" w:hanging="0"/>
        <w:contextualSpacing w:val="false"/>
        <w:jc w:val="both"/>
        <w:rPr/>
      </w:pPr>
      <w:r>
        <w:rPr>
          <w:rFonts w:ascii="Times New Roman" w:hAnsi="Times New Roman"/>
          <w:b/>
          <w:bCs/>
          <w:shd w:fill="FFFFFF" w:val="clear"/>
        </w:rPr>
        <w:t xml:space="preserve">                </w:t>
      </w:r>
      <w:r>
        <w:rPr>
          <w:rFonts w:ascii="Times New Roman" w:hAnsi="Times New Roman"/>
          <w:b/>
          <w:bCs/>
          <w:shd w:fill="FFFFFF" w:val="clear"/>
        </w:rPr>
        <w:t>12.2  по доставке оборудования</w:t>
      </w:r>
      <w:r>
        <w:rPr>
          <w:rFonts w:ascii="Times New Roman" w:hAnsi="Times New Roman"/>
          <w:shd w:fill="FFFFFF" w:val="clear"/>
        </w:rPr>
        <w:t>:</w:t>
      </w:r>
    </w:p>
    <w:p>
      <w:pPr>
        <w:pStyle w:val="ConsPlusNormal1"/>
        <w:widowControl/>
        <w:numPr>
          <w:ilvl w:val="0"/>
          <w:numId w:val="11"/>
        </w:numPr>
        <w:tabs>
          <w:tab w:val="clear" w:pos="708"/>
          <w:tab w:val="left" w:pos="1134" w:leader="none"/>
        </w:tabs>
        <w:spacing w:before="40" w:after="40"/>
        <w:ind w:left="0" w:firstLine="709"/>
        <w:jc w:val="both"/>
        <w:rPr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  <w:shd w:fill="FFFFFF" w:val="clear"/>
        </w:rPr>
        <w:t>расчетом с учетом расстояния перевозки, класса грузов, типа транспорта, наличии погрузо-разгрузочных работ, информации о ценах на услуги на перевозку грузов, в зависимости от вида транспорта (ж/д, автомобильный, речной, морской, воздушный), включенных  в соответствии со сметными нормативами, включенными в ФРСН;</w:t>
      </w:r>
    </w:p>
    <w:p>
      <w:pPr>
        <w:pStyle w:val="ConsPlusNormal1"/>
        <w:widowControl/>
        <w:numPr>
          <w:ilvl w:val="0"/>
          <w:numId w:val="11"/>
        </w:numPr>
        <w:tabs>
          <w:tab w:val="clear" w:pos="708"/>
          <w:tab w:val="left" w:pos="1134" w:leader="none"/>
        </w:tabs>
        <w:spacing w:before="40" w:after="40"/>
        <w:ind w:left="0" w:firstLine="709"/>
        <w:jc w:val="both"/>
        <w:rPr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  <w:shd w:fill="FFFFFF" w:val="clear"/>
        </w:rPr>
        <w:t xml:space="preserve">Методом анализа ТКП </w:t>
      </w:r>
      <w:r>
        <w:rPr>
          <w:rFonts w:ascii="Times New Roman" w:hAnsi="Times New Roman"/>
          <w:sz w:val="22"/>
          <w:szCs w:val="22"/>
          <w:shd w:fill="FFFFFF" w:val="clear"/>
        </w:rPr>
        <w:t>(не менее, чем из трех ИЦИ) в соответствии с Приложением №3 к Требованиям к оформлению и составлению сметной документации на выполнение работ по программе реконструкции и технического перевооружения</w:t>
      </w:r>
      <w:r>
        <w:rPr>
          <w:rFonts w:cs="Times New Roman" w:ascii="Times New Roman" w:hAnsi="Times New Roman"/>
          <w:sz w:val="22"/>
          <w:szCs w:val="22"/>
          <w:shd w:fill="FFFFFF" w:val="clear"/>
        </w:rPr>
        <w:t>;</w:t>
      </w:r>
    </w:p>
    <w:p>
      <w:pPr>
        <w:pStyle w:val="ConsPlusNormal1"/>
        <w:numPr>
          <w:ilvl w:val="0"/>
          <w:numId w:val="11"/>
        </w:numPr>
        <w:tabs>
          <w:tab w:val="clear" w:pos="708"/>
          <w:tab w:val="left" w:pos="284" w:leader="none"/>
          <w:tab w:val="left" w:pos="1134" w:leader="none"/>
        </w:tabs>
        <w:spacing w:before="40" w:after="40"/>
        <w:ind w:left="0" w:firstLine="709"/>
        <w:jc w:val="both"/>
        <w:rPr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  <w:shd w:fill="FFFFFF" w:val="clear"/>
        </w:rPr>
        <w:t>в размере до 3-х процентов от отпускной цены оборудования (при невозможности определить затраты</w:t>
      </w:r>
      <w:bookmarkStart w:id="1" w:name="_Hlk86255346"/>
      <w:r>
        <w:rPr>
          <w:rFonts w:cs="Times New Roman" w:ascii="Times New Roman" w:hAnsi="Times New Roman"/>
          <w:sz w:val="22"/>
          <w:szCs w:val="22"/>
          <w:shd w:fill="FFFFFF" w:val="clear"/>
        </w:rPr>
        <w:t xml:space="preserve"> </w:t>
      </w:r>
      <w:bookmarkEnd w:id="1"/>
      <w:r>
        <w:rPr>
          <w:rFonts w:cs="Times New Roman" w:ascii="Times New Roman" w:hAnsi="Times New Roman"/>
          <w:sz w:val="22"/>
          <w:szCs w:val="22"/>
          <w:shd w:fill="FFFFFF" w:val="clear"/>
        </w:rPr>
        <w:t>указанными выше способами), по решению заказчика.</w:t>
      </w:r>
    </w:p>
    <w:p>
      <w:pPr>
        <w:pStyle w:val="ListParagraph"/>
        <w:tabs>
          <w:tab w:val="clear" w:pos="708"/>
          <w:tab w:val="left" w:pos="284" w:leader="none"/>
          <w:tab w:val="left" w:pos="1134" w:leader="none"/>
        </w:tabs>
        <w:spacing w:lineRule="auto" w:line="240" w:before="40" w:after="40"/>
        <w:ind w:left="0" w:hanging="0"/>
        <w:contextualSpacing w:val="false"/>
        <w:jc w:val="both"/>
        <w:rPr/>
      </w:pPr>
      <w:r>
        <w:rPr>
          <w:rFonts w:ascii="Times New Roman" w:hAnsi="Times New Roman"/>
          <w:shd w:fill="FFFFFF" w:val="clear"/>
        </w:rPr>
        <w:t xml:space="preserve">        </w:t>
      </w:r>
      <w:r>
        <w:rPr>
          <w:rFonts w:ascii="Times New Roman" w:hAnsi="Times New Roman"/>
          <w:shd w:fill="FFFFFF" w:val="clear"/>
        </w:rPr>
        <w:t>13. Если транспортировка осуществляется заказчиком самостоятельно (самовывоз), данный показатель не учитывается.</w:t>
      </w:r>
    </w:p>
    <w:p>
      <w:pPr>
        <w:pStyle w:val="ListParagraph"/>
        <w:tabs>
          <w:tab w:val="clear" w:pos="708"/>
          <w:tab w:val="left" w:pos="851" w:leader="none"/>
        </w:tabs>
        <w:spacing w:lineRule="auto" w:line="240" w:before="40" w:after="40"/>
        <w:ind w:left="0" w:hanging="0"/>
        <w:contextualSpacing w:val="false"/>
        <w:jc w:val="both"/>
        <w:rPr/>
      </w:pPr>
      <w:r>
        <w:rPr>
          <w:rFonts w:ascii="Times New Roman" w:hAnsi="Times New Roman"/>
          <w:shd w:fill="FFFFFF" w:val="clear"/>
        </w:rPr>
        <w:t xml:space="preserve">    </w:t>
      </w:r>
      <w:r>
        <w:rPr>
          <w:rFonts w:ascii="Times New Roman" w:hAnsi="Times New Roman"/>
          <w:shd w:fill="FFFFFF" w:val="clear"/>
        </w:rPr>
        <w:t>14. Заготовительно-складские расходы определяются в % от суммы отпускной цены материалов, изделий, конструкций, оборудования и транспортных затрат:</w:t>
      </w:r>
    </w:p>
    <w:p>
      <w:pPr>
        <w:pStyle w:val="ConsPlusNormal1"/>
        <w:numPr>
          <w:ilvl w:val="0"/>
          <w:numId w:val="10"/>
        </w:numPr>
        <w:tabs>
          <w:tab w:val="clear" w:pos="708"/>
          <w:tab w:val="left" w:pos="709" w:leader="none"/>
          <w:tab w:val="left" w:pos="851" w:leader="none"/>
        </w:tabs>
        <w:spacing w:before="40" w:after="40"/>
        <w:ind w:left="0" w:firstLine="709"/>
        <w:jc w:val="both"/>
        <w:rPr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  <w:shd w:fill="FFFFFF" w:val="clear"/>
        </w:rPr>
        <w:t>2% -для материальных ресурсов (кроме металлоконструкций);</w:t>
      </w:r>
    </w:p>
    <w:p>
      <w:pPr>
        <w:pStyle w:val="ConsPlusNormal1"/>
        <w:numPr>
          <w:ilvl w:val="0"/>
          <w:numId w:val="10"/>
        </w:numPr>
        <w:tabs>
          <w:tab w:val="clear" w:pos="708"/>
          <w:tab w:val="left" w:pos="709" w:leader="none"/>
          <w:tab w:val="left" w:pos="851" w:leader="none"/>
        </w:tabs>
        <w:spacing w:before="40" w:after="40"/>
        <w:ind w:left="0" w:firstLine="709"/>
        <w:jc w:val="both"/>
        <w:rPr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  <w:shd w:fill="FFFFFF" w:val="clear"/>
        </w:rPr>
        <w:t>0,75%- для металлоконструкций;</w:t>
      </w:r>
    </w:p>
    <w:p>
      <w:pPr>
        <w:pStyle w:val="ConsPlusNormal1"/>
        <w:numPr>
          <w:ilvl w:val="0"/>
          <w:numId w:val="10"/>
        </w:numPr>
        <w:tabs>
          <w:tab w:val="clear" w:pos="708"/>
          <w:tab w:val="left" w:pos="709" w:leader="none"/>
          <w:tab w:val="left" w:pos="851" w:leader="none"/>
        </w:tabs>
        <w:spacing w:before="40" w:after="40"/>
        <w:ind w:left="0" w:firstLine="709"/>
        <w:jc w:val="both"/>
        <w:rPr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  <w:shd w:fill="FFFFFF" w:val="clear"/>
        </w:rPr>
        <w:t>1,2% - для оборудования.</w:t>
      </w:r>
    </w:p>
    <w:p>
      <w:pPr>
        <w:pStyle w:val="ListParagraph"/>
        <w:tabs>
          <w:tab w:val="clear" w:pos="708"/>
          <w:tab w:val="left" w:pos="709" w:leader="none"/>
          <w:tab w:val="left" w:pos="851" w:leader="none"/>
        </w:tabs>
        <w:spacing w:lineRule="auto" w:line="240" w:before="40" w:after="40"/>
        <w:ind w:left="0" w:hanging="0"/>
        <w:contextualSpacing w:val="false"/>
        <w:jc w:val="both"/>
        <w:rPr/>
      </w:pPr>
      <w:r>
        <w:rPr>
          <w:rFonts w:ascii="Times New Roman" w:hAnsi="Times New Roman"/>
          <w:shd w:fill="FFFFFF" w:val="clear"/>
        </w:rPr>
        <w:t xml:space="preserve">       </w:t>
      </w:r>
      <w:r>
        <w:rPr>
          <w:rFonts w:ascii="Times New Roman" w:hAnsi="Times New Roman"/>
          <w:shd w:fill="FFFFFF" w:val="clear"/>
        </w:rPr>
        <w:t>15. Затраты на эксплуатацию строительной техники, не учтенной нормами и расценками, включенными в ФРСН, определяются Методом анализа ТКП (не менее, чем из трех ИЦИ) в соответствии с Приложением №3 к Требованиям к оформлению и составлению сметной документации на выполнение работ по программе реконструкции и технического перевооружения и включаются в Главу 9</w:t>
      </w:r>
      <w:r>
        <w:rPr>
          <w:rFonts w:ascii="Times New Roman" w:hAnsi="Times New Roman"/>
          <w:color w:val="000000"/>
          <w:shd w:fill="FFFFFF" w:val="clear"/>
        </w:rPr>
        <w:t xml:space="preserve"> ССРСС</w:t>
      </w:r>
      <w:r>
        <w:rPr>
          <w:rFonts w:ascii="Times New Roman" w:hAnsi="Times New Roman"/>
          <w:b/>
          <w:color w:val="000000"/>
          <w:shd w:fill="FFFFFF" w:val="clear"/>
        </w:rPr>
        <w:t>.</w:t>
      </w:r>
    </w:p>
    <w:p>
      <w:pPr>
        <w:pStyle w:val="ListParagraph"/>
        <w:tabs>
          <w:tab w:val="clear" w:pos="708"/>
          <w:tab w:val="left" w:pos="709" w:leader="none"/>
          <w:tab w:val="left" w:pos="851" w:leader="none"/>
          <w:tab w:val="left" w:pos="1276" w:leader="none"/>
        </w:tabs>
        <w:spacing w:lineRule="auto" w:line="240" w:before="40" w:after="40"/>
        <w:ind w:left="0" w:hanging="0"/>
        <w:contextualSpacing w:val="false"/>
        <w:jc w:val="both"/>
        <w:rPr/>
      </w:pPr>
      <w:r>
        <w:rPr>
          <w:rFonts w:ascii="Times New Roman" w:hAnsi="Times New Roman"/>
          <w:color w:val="000000"/>
          <w:shd w:fill="FFFFFF" w:val="clear"/>
        </w:rPr>
        <w:t xml:space="preserve">       </w:t>
      </w:r>
      <w:r>
        <w:rPr>
          <w:rFonts w:ascii="Times New Roman" w:hAnsi="Times New Roman"/>
          <w:color w:val="000000"/>
          <w:shd w:fill="FFFFFF" w:val="clear"/>
        </w:rPr>
        <w:t>16. При формировании сметной стоимости в ЛСР (ЛС) отдельно выделяется сметная стоимость по видам оборудования: инженерное; технологическое; лабораторное; транспортные средства; инструмент для технологических процессов; производственный и хозяйственный инвентарь, в т.ч. мебель.</w:t>
      </w:r>
    </w:p>
    <w:p>
      <w:pPr>
        <w:pStyle w:val="ListParagraph"/>
        <w:tabs>
          <w:tab w:val="clear" w:pos="708"/>
          <w:tab w:val="left" w:pos="709" w:leader="none"/>
          <w:tab w:val="left" w:pos="851" w:leader="none"/>
          <w:tab w:val="left" w:pos="1276" w:leader="none"/>
        </w:tabs>
        <w:spacing w:lineRule="auto" w:line="240" w:before="40" w:after="40"/>
        <w:ind w:left="0" w:hanging="0"/>
        <w:contextualSpacing w:val="false"/>
        <w:jc w:val="both"/>
        <w:rPr/>
      </w:pPr>
      <w:r>
        <w:rPr>
          <w:rFonts w:ascii="Times New Roman" w:hAnsi="Times New Roman"/>
          <w:shd w:fill="FFFFFF" w:val="clear"/>
        </w:rPr>
        <w:t xml:space="preserve">   </w:t>
      </w:r>
      <w:r>
        <w:rPr>
          <w:rFonts w:ascii="Times New Roman" w:hAnsi="Times New Roman"/>
          <w:shd w:fill="FFFFFF" w:val="clear"/>
        </w:rPr>
        <w:t>17. При использовании в сметах коэффициентов и лимитированных затрат указывать обоснование из технической части, вводных указаний сборников или других нормативных документов и приложений к ним.</w:t>
      </w:r>
    </w:p>
    <w:p>
      <w:pPr>
        <w:pStyle w:val="ListParagraph"/>
        <w:tabs>
          <w:tab w:val="clear" w:pos="708"/>
          <w:tab w:val="left" w:pos="859" w:leader="none"/>
          <w:tab w:val="left" w:pos="1276" w:leader="none"/>
        </w:tabs>
        <w:spacing w:lineRule="auto" w:line="240" w:before="40" w:after="40"/>
        <w:ind w:left="0" w:hanging="0"/>
        <w:contextualSpacing w:val="false"/>
        <w:jc w:val="both"/>
        <w:rPr/>
      </w:pPr>
      <w:r>
        <w:rPr>
          <w:rFonts w:ascii="Times New Roman" w:hAnsi="Times New Roman"/>
          <w:color w:val="000000"/>
          <w:shd w:fill="FFFFFF" w:val="clear"/>
        </w:rPr>
        <w:t xml:space="preserve">       </w:t>
      </w:r>
      <w:r>
        <w:rPr>
          <w:rFonts w:ascii="Times New Roman" w:hAnsi="Times New Roman"/>
          <w:color w:val="000000"/>
          <w:shd w:fill="FFFFFF" w:val="clear"/>
        </w:rPr>
        <w:t>18. Поправочные коэффициенты из технической части к расценкам (например, на демонтаж или для учета особых условий выполнения работ) учитываются индивидуально для каждой позиции и в выходных формах при выгрузке в формат «Excel» и указываются попозиционно.</w:t>
      </w:r>
      <w:r>
        <w:rPr>
          <w:rFonts w:ascii="Times New Roman" w:hAnsi="Times New Roman"/>
          <w:color w:val="FF0000"/>
          <w:shd w:fill="FFFFFF" w:val="clear"/>
        </w:rPr>
        <w:t xml:space="preserve"> </w:t>
      </w:r>
      <w:r>
        <w:rPr>
          <w:rFonts w:ascii="Times New Roman" w:hAnsi="Times New Roman"/>
          <w:shd w:fill="FFFFFF" w:val="clear"/>
        </w:rPr>
        <w:t>Коэффициенты, учитывающие усложняющие факторы и условия производства работ, могут применяться одновременно с другими коэффициентами, предусмотренными сметными нормативами, включенными в ФРСН. При одновременном применении коэффициенты перемножаются, результат округляется до семи знаков после запятой.</w:t>
      </w:r>
    </w:p>
    <w:p>
      <w:pPr>
        <w:pStyle w:val="ListParagraph"/>
        <w:tabs>
          <w:tab w:val="clear" w:pos="708"/>
          <w:tab w:val="left" w:pos="284" w:leader="none"/>
          <w:tab w:val="left" w:pos="709" w:leader="none"/>
          <w:tab w:val="left" w:pos="851" w:leader="none"/>
          <w:tab w:val="left" w:pos="1276" w:leader="none"/>
        </w:tabs>
        <w:spacing w:lineRule="auto" w:line="240" w:before="40" w:after="40"/>
        <w:ind w:left="0" w:hanging="0"/>
        <w:contextualSpacing w:val="false"/>
        <w:jc w:val="both"/>
        <w:rPr/>
      </w:pPr>
      <w:r>
        <w:rPr>
          <w:rFonts w:ascii="Times New Roman" w:hAnsi="Times New Roman"/>
          <w:color w:val="000000"/>
          <w:shd w:fill="FFFFFF" w:val="clear"/>
        </w:rPr>
        <w:t xml:space="preserve">      </w:t>
      </w:r>
      <w:r>
        <w:rPr>
          <w:rFonts w:ascii="Times New Roman" w:hAnsi="Times New Roman"/>
          <w:color w:val="000000"/>
          <w:shd w:fill="FFFFFF" w:val="clear"/>
        </w:rPr>
        <w:t>19. При внесении изменений в сметную документацию разрабатывается сводный сметный расчет, определяющий общую сметную стоимость строительства с учетом произведенных изменений проектной и (или) иной технической документации на полный объем работ с учетом объемов корректировки (исключаемых и дополнительных). Локальные сметные расчеты (сметы) разрабатываются отдельно на исключаемые и дополнительные объемы работ.</w:t>
      </w:r>
    </w:p>
    <w:p>
      <w:pPr>
        <w:pStyle w:val="ListParagraph"/>
        <w:tabs>
          <w:tab w:val="clear" w:pos="708"/>
          <w:tab w:val="left" w:pos="284" w:leader="none"/>
          <w:tab w:val="left" w:pos="709" w:leader="none"/>
          <w:tab w:val="left" w:pos="851" w:leader="none"/>
          <w:tab w:val="left" w:pos="1276" w:leader="none"/>
        </w:tabs>
        <w:spacing w:lineRule="auto" w:line="240" w:before="40" w:after="40"/>
        <w:ind w:left="0" w:hanging="0"/>
        <w:contextualSpacing w:val="false"/>
        <w:jc w:val="both"/>
        <w:rPr/>
      </w:pPr>
      <w:r>
        <w:rPr>
          <w:rFonts w:ascii="Times New Roman" w:hAnsi="Times New Roman"/>
          <w:color w:val="000000"/>
          <w:shd w:fill="FFFFFF" w:val="clear"/>
        </w:rPr>
        <w:t xml:space="preserve">      </w:t>
      </w:r>
      <w:r>
        <w:rPr>
          <w:rFonts w:ascii="Times New Roman" w:hAnsi="Times New Roman"/>
          <w:color w:val="000000"/>
          <w:shd w:fill="FFFFFF" w:val="clear"/>
        </w:rPr>
        <w:t>20. Затраты</w:t>
      </w:r>
      <w:r>
        <w:rPr>
          <w:rFonts w:ascii="Times New Roman" w:hAnsi="Times New Roman"/>
          <w:shd w:fill="FFFFFF" w:val="clear"/>
        </w:rPr>
        <w:t xml:space="preserve"> на возведение временных зданий и сооружений учитывать в том случае, если они указаны в ПОС, Технических требованиях. Размер средств на устройство и ликвидацию временных зданий и сооружений определяются одним из способов: нормативным методом с применением нормативов затрат на строительство титульных временных зданий и сооружений, сведения о которых включены в ФРСН, расчетным методом на основании ЛСР (ЛС) или калькуляций, в соответствии с данными ПОС. Порядок расчета за возведенные временные здания и сооружения оговаривать в договоре подряда.</w:t>
      </w:r>
    </w:p>
    <w:p>
      <w:pPr>
        <w:pStyle w:val="ListParagraph"/>
        <w:tabs>
          <w:tab w:val="clear" w:pos="708"/>
          <w:tab w:val="left" w:pos="284" w:leader="none"/>
          <w:tab w:val="left" w:pos="709" w:leader="none"/>
          <w:tab w:val="left" w:pos="851" w:leader="none"/>
          <w:tab w:val="left" w:pos="1276" w:leader="none"/>
        </w:tabs>
        <w:spacing w:lineRule="auto" w:line="240" w:before="40" w:after="40"/>
        <w:ind w:left="0" w:hanging="0"/>
        <w:contextualSpacing w:val="false"/>
        <w:jc w:val="both"/>
        <w:rPr/>
      </w:pPr>
      <w:r>
        <w:rPr>
          <w:rFonts w:ascii="Times New Roman" w:hAnsi="Times New Roman"/>
          <w:color w:val="000000"/>
          <w:shd w:fill="FFFFFF" w:val="clear"/>
        </w:rPr>
        <w:t xml:space="preserve">    </w:t>
      </w:r>
      <w:r>
        <w:rPr>
          <w:rFonts w:ascii="Times New Roman" w:hAnsi="Times New Roman"/>
          <w:color w:val="000000"/>
          <w:shd w:fill="FFFFFF" w:val="clear"/>
        </w:rPr>
        <w:t>21. Резерв</w:t>
      </w:r>
      <w:r>
        <w:rPr>
          <w:rFonts w:ascii="Times New Roman" w:hAnsi="Times New Roman"/>
          <w:shd w:fill="FFFFFF" w:val="clear"/>
        </w:rPr>
        <w:t xml:space="preserve"> средств на непредвиденные работы и затраты определять в Технических требованиях и начислять в смете в процентах в размере, указанном в утвержденных Технических требованиях. Порядок расчета за непредвиденные работы и затраты оговаривать в договоре подряда.</w:t>
      </w:r>
    </w:p>
    <w:p>
      <w:pPr>
        <w:pStyle w:val="ListParagraph"/>
        <w:tabs>
          <w:tab w:val="clear" w:pos="708"/>
          <w:tab w:val="left" w:pos="284" w:leader="none"/>
          <w:tab w:val="left" w:pos="709" w:leader="none"/>
          <w:tab w:val="left" w:pos="851" w:leader="none"/>
          <w:tab w:val="left" w:pos="1276" w:leader="none"/>
        </w:tabs>
        <w:spacing w:lineRule="auto" w:line="240" w:before="40" w:after="40"/>
        <w:ind w:left="0" w:hanging="0"/>
        <w:contextualSpacing w:val="false"/>
        <w:jc w:val="both"/>
        <w:rPr/>
      </w:pPr>
      <w:r>
        <w:rPr>
          <w:rFonts w:ascii="Times New Roman" w:hAnsi="Times New Roman"/>
          <w:color w:val="000000"/>
          <w:shd w:fill="FFFFFF" w:val="clear"/>
        </w:rPr>
        <w:t xml:space="preserve">      </w:t>
      </w:r>
      <w:r>
        <w:rPr>
          <w:rFonts w:ascii="Times New Roman" w:hAnsi="Times New Roman"/>
          <w:shd w:fill="FFFFFF" w:val="clear"/>
        </w:rPr>
        <w:t xml:space="preserve">22. В </w:t>
      </w:r>
      <w:r>
        <w:rPr>
          <w:rFonts w:ascii="Times New Roman" w:hAnsi="Times New Roman"/>
          <w:color w:val="000000"/>
          <w:shd w:fill="FFFFFF" w:val="clear"/>
        </w:rPr>
        <w:t>ЛСР</w:t>
      </w:r>
      <w:r>
        <w:rPr>
          <w:rFonts w:ascii="Times New Roman" w:hAnsi="Times New Roman"/>
          <w:shd w:fill="FFFFFF" w:val="clear"/>
        </w:rPr>
        <w:t xml:space="preserve"> (ЛС) указывать величину накладных расходов по видам строительных, ремонтно-строительных, монтажных и пусконаладочных работ, на основании нормативных документов, внесенных в ФРСН.</w:t>
      </w:r>
    </w:p>
    <w:p>
      <w:pPr>
        <w:pStyle w:val="ListParagraph"/>
        <w:tabs>
          <w:tab w:val="clear" w:pos="708"/>
          <w:tab w:val="left" w:pos="284" w:leader="none"/>
          <w:tab w:val="left" w:pos="709" w:leader="none"/>
          <w:tab w:val="left" w:pos="851" w:leader="none"/>
          <w:tab w:val="left" w:pos="1276" w:leader="none"/>
        </w:tabs>
        <w:spacing w:lineRule="auto" w:line="240" w:before="40" w:after="40"/>
        <w:ind w:left="0" w:hanging="0"/>
        <w:contextualSpacing w:val="false"/>
        <w:jc w:val="both"/>
        <w:rPr/>
      </w:pPr>
      <w:r>
        <w:rPr>
          <w:rFonts w:ascii="Times New Roman" w:hAnsi="Times New Roman"/>
          <w:color w:val="000000"/>
          <w:shd w:fill="FFFFFF" w:val="clear"/>
        </w:rPr>
        <w:t xml:space="preserve">      </w:t>
      </w:r>
      <w:r>
        <w:rPr>
          <w:rFonts w:ascii="Times New Roman" w:hAnsi="Times New Roman"/>
          <w:shd w:fill="FFFFFF" w:val="clear"/>
        </w:rPr>
        <w:t xml:space="preserve">23. В </w:t>
      </w:r>
      <w:r>
        <w:rPr>
          <w:rFonts w:ascii="Times New Roman" w:hAnsi="Times New Roman"/>
          <w:color w:val="000000"/>
          <w:shd w:fill="FFFFFF" w:val="clear"/>
        </w:rPr>
        <w:t>ЛСР</w:t>
      </w:r>
      <w:r>
        <w:rPr>
          <w:rFonts w:ascii="Times New Roman" w:hAnsi="Times New Roman"/>
          <w:shd w:fill="FFFFFF" w:val="clear"/>
        </w:rPr>
        <w:t xml:space="preserve"> (ЛС) указывать величину сметной прибыли по видам строительных, ремонтно-строительных, монтажных и пусконаладочных работ, на основании актуальных нормативных документов, внесенных в ФРСН.</w:t>
      </w:r>
    </w:p>
    <w:p>
      <w:pPr>
        <w:pStyle w:val="ListParagraph"/>
        <w:tabs>
          <w:tab w:val="clear" w:pos="708"/>
          <w:tab w:val="left" w:pos="284" w:leader="none"/>
          <w:tab w:val="left" w:pos="709" w:leader="none"/>
          <w:tab w:val="left" w:pos="851" w:leader="none"/>
          <w:tab w:val="left" w:pos="1276" w:leader="none"/>
        </w:tabs>
        <w:spacing w:lineRule="auto" w:line="240" w:before="40" w:after="40"/>
        <w:ind w:left="0" w:hanging="0"/>
        <w:contextualSpacing w:val="false"/>
        <w:jc w:val="both"/>
        <w:rPr/>
      </w:pPr>
      <w:r>
        <w:rPr>
          <w:rFonts w:ascii="Times New Roman" w:hAnsi="Times New Roman"/>
          <w:color w:val="000000"/>
          <w:shd w:fill="FFFFFF" w:val="clear"/>
        </w:rPr>
        <w:t xml:space="preserve">      </w:t>
      </w:r>
      <w:r>
        <w:rPr>
          <w:rFonts w:ascii="Times New Roman" w:hAnsi="Times New Roman"/>
          <w:color w:val="000000"/>
          <w:shd w:fill="FFFFFF" w:val="clear"/>
        </w:rPr>
        <w:t>24. Сметная</w:t>
      </w:r>
      <w:r>
        <w:rPr>
          <w:rFonts w:ascii="Times New Roman" w:hAnsi="Times New Roman"/>
          <w:shd w:fill="FFFFFF" w:val="clear"/>
        </w:rPr>
        <w:t xml:space="preserve"> стоимость пусконаладочных работ определяется на основании утвержденных заказчиком программы и графика. Расчет стоимости пусконаладочных работ составлять с применением сметных нормативов, включенных в ФРСН. При определении сметной стоимости полного комплекса пусконаладочных работ на основании раздела </w:t>
      </w:r>
      <w:r>
        <w:rPr>
          <w:rFonts w:ascii="Times New Roman" w:hAnsi="Times New Roman"/>
          <w:shd w:fill="FFFFFF" w:val="clear"/>
          <w:lang w:val="en-US"/>
        </w:rPr>
        <w:t>VII</w:t>
      </w:r>
      <w:r>
        <w:rPr>
          <w:rFonts w:ascii="Times New Roman" w:hAnsi="Times New Roman"/>
          <w:shd w:fill="FFFFFF" w:val="clear"/>
        </w:rPr>
        <w:t xml:space="preserve">. Методики определения сметной стоимости строительства: </w:t>
      </w:r>
    </w:p>
    <w:p>
      <w:pPr>
        <w:pStyle w:val="ConsPlusNormal1"/>
        <w:numPr>
          <w:ilvl w:val="0"/>
          <w:numId w:val="6"/>
        </w:numPr>
        <w:tabs>
          <w:tab w:val="clear" w:pos="708"/>
          <w:tab w:val="left" w:pos="709" w:leader="none"/>
          <w:tab w:val="left" w:pos="851" w:leader="none"/>
          <w:tab w:val="left" w:pos="1134" w:leader="none"/>
        </w:tabs>
        <w:spacing w:before="40" w:after="40"/>
        <w:ind w:left="0" w:firstLine="709"/>
        <w:jc w:val="both"/>
        <w:rPr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  <w:shd w:fill="FFFFFF" w:val="clear"/>
        </w:rPr>
        <w:t>Затраты на проведение пусконаладочных работ «вхолостую» по объектам производственного и непроизводственного назначения, связанных с получением дохода от реализации товаров (услуг) включаются в Главу 9 «Прочие работы и затраты» (графы 7 и 8) ССРСС. В соответствии с заданием Заказчика и при обосновании программами ПНР (комплексного опробования оборудования), в сметной стоимости ПНР дополнительно могут учитываться: стоимость материальных, энергетических ресурсов, сырья и полуфабрикатов, используемых при проведении ПНР «вхолостую».</w:t>
      </w:r>
    </w:p>
    <w:p>
      <w:pPr>
        <w:pStyle w:val="ConsPlusNormal1"/>
        <w:numPr>
          <w:ilvl w:val="0"/>
          <w:numId w:val="6"/>
        </w:numPr>
        <w:tabs>
          <w:tab w:val="clear" w:pos="708"/>
          <w:tab w:val="left" w:pos="709" w:leader="none"/>
          <w:tab w:val="left" w:pos="851" w:leader="none"/>
          <w:tab w:val="left" w:pos="1134" w:leader="none"/>
        </w:tabs>
        <w:spacing w:before="40" w:after="40"/>
        <w:ind w:left="0" w:firstLine="709"/>
        <w:jc w:val="both"/>
        <w:rPr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  <w:shd w:fill="FFFFFF" w:val="clear"/>
        </w:rPr>
        <w:t>Пусконаладочные работы «под нагрузкой» для объектов производственного и непроизводственного назначения, связанных с получением дохода от реализации товаров (услуг) не относятся на сметную стоимость строительства и в сметной документации не учитываются. Исключением являются ПНР на особо опасных, технически сложных и уникальных объектах капитального строительства, где необходимость учета таких затрат определяется заказчиком.</w:t>
      </w:r>
    </w:p>
    <w:p>
      <w:pPr>
        <w:pStyle w:val="ConsPlusNormal1"/>
        <w:tabs>
          <w:tab w:val="clear" w:pos="708"/>
          <w:tab w:val="left" w:pos="709" w:leader="none"/>
          <w:tab w:val="left" w:pos="851" w:leader="none"/>
        </w:tabs>
        <w:spacing w:before="40" w:after="40"/>
        <w:ind w:firstLine="709"/>
        <w:jc w:val="both"/>
        <w:rPr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  <w:shd w:fill="FFFFFF" w:val="clear"/>
        </w:rPr>
        <w:t xml:space="preserve">Данные работы оформляются отдельными локальными сметами в соответствии </w:t>
      </w:r>
      <w:r>
        <w:rPr>
          <w:rFonts w:cs="Times New Roman" w:ascii="Times New Roman" w:hAnsi="Times New Roman"/>
          <w:color w:val="000000"/>
          <w:sz w:val="22"/>
          <w:szCs w:val="22"/>
          <w:shd w:fill="FFFFFF" w:val="clear"/>
        </w:rPr>
        <w:t xml:space="preserve">с Приложением № 1.5 к Требованиям по оформлению и составлению сметной документации на выполнение строительно-монтажных работ по программе ремонтов, реконструкции и техническому перевооружению и включаются в ССР. </w:t>
      </w:r>
    </w:p>
    <w:p>
      <w:pPr>
        <w:pStyle w:val="ListParagraph"/>
        <w:tabs>
          <w:tab w:val="clear" w:pos="708"/>
          <w:tab w:val="left" w:pos="709" w:leader="none"/>
          <w:tab w:val="left" w:pos="851" w:leader="none"/>
          <w:tab w:val="left" w:pos="1276" w:leader="none"/>
        </w:tabs>
        <w:spacing w:lineRule="auto" w:line="240" w:before="40" w:after="40"/>
        <w:ind w:left="0" w:hanging="0"/>
        <w:contextualSpacing w:val="false"/>
        <w:jc w:val="both"/>
        <w:rPr/>
      </w:pPr>
      <w:r>
        <w:rPr>
          <w:rFonts w:ascii="Times New Roman" w:hAnsi="Times New Roman"/>
          <w:color w:val="000000"/>
          <w:shd w:fill="FFFFFF" w:val="clear"/>
        </w:rPr>
        <w:t xml:space="preserve">      </w:t>
      </w:r>
      <w:r>
        <w:rPr>
          <w:rFonts w:ascii="Times New Roman" w:hAnsi="Times New Roman"/>
          <w:color w:val="000000"/>
          <w:shd w:fill="FFFFFF" w:val="clear"/>
        </w:rPr>
        <w:t>25. Стоимость</w:t>
      </w:r>
      <w:r>
        <w:rPr>
          <w:rFonts w:ascii="Times New Roman" w:hAnsi="Times New Roman"/>
          <w:shd w:fill="FFFFFF" w:val="clear"/>
        </w:rPr>
        <w:t xml:space="preserve"> шеф - монтажных и шеф - наладочных работ включается в сметную стоимость оборудования и может определяться отдельными расчетами. Расчет стоимости шеф - монтажных работ выполняется по форме 3П с предоставлением подтверждающих документов по уровню заработной платы, удельному весу накладных расходов в себестоимости, уровню рентабельности </w:t>
      </w:r>
      <w:r>
        <w:rPr>
          <w:rFonts w:ascii="Times New Roman" w:hAnsi="Times New Roman"/>
          <w:color w:val="000000"/>
          <w:shd w:fill="FFFFFF" w:val="clear"/>
        </w:rPr>
        <w:t>(образец формы расчета представлен в Приложении № 2 к Требованиям к оформлению и составлению сметной документации на выполнение строительно-монтажных работ по программе ремонтов, реконструкции и техническому перевооружению).</w:t>
      </w:r>
      <w:r>
        <w:rPr>
          <w:rFonts w:ascii="Times New Roman" w:hAnsi="Times New Roman"/>
          <w:shd w:fill="FFFFFF" w:val="clear"/>
        </w:rPr>
        <w:t xml:space="preserve"> Участник (подрядчик, контрагент) представляет смету на шеф-монтажные работы в соответствии с графиком выполнения работ.</w:t>
      </w:r>
    </w:p>
    <w:p>
      <w:pPr>
        <w:pStyle w:val="ListParagraph"/>
        <w:tabs>
          <w:tab w:val="clear" w:pos="708"/>
          <w:tab w:val="left" w:pos="709" w:leader="none"/>
          <w:tab w:val="left" w:pos="851" w:leader="none"/>
          <w:tab w:val="left" w:pos="1276" w:leader="none"/>
        </w:tabs>
        <w:spacing w:lineRule="auto" w:line="240" w:before="40" w:after="40"/>
        <w:ind w:left="0" w:hanging="0"/>
        <w:contextualSpacing w:val="false"/>
        <w:jc w:val="both"/>
        <w:rPr/>
      </w:pPr>
      <w:r>
        <w:rPr>
          <w:rFonts w:ascii="Times New Roman" w:hAnsi="Times New Roman"/>
          <w:color w:val="000000"/>
          <w:shd w:fill="FFFFFF" w:val="clear"/>
        </w:rPr>
        <w:t xml:space="preserve">      </w:t>
      </w:r>
      <w:r>
        <w:rPr>
          <w:rFonts w:ascii="Times New Roman" w:hAnsi="Times New Roman"/>
          <w:shd w:fill="FFFFFF" w:val="clear"/>
        </w:rPr>
        <w:t>26. При необходимости учета командировочных расходов в сметной документации составляется расчет. Размер суточных командировочных расходов определять в соответствии с Федеральным законодательством и с учетом норм, определяемых внутренним документом организации.</w:t>
      </w:r>
    </w:p>
    <w:p>
      <w:pPr>
        <w:pStyle w:val="ConsPlusNormal1"/>
        <w:widowControl/>
        <w:tabs>
          <w:tab w:val="clear" w:pos="708"/>
          <w:tab w:val="left" w:pos="284" w:leader="none"/>
          <w:tab w:val="left" w:pos="709" w:leader="none"/>
          <w:tab w:val="left" w:pos="851" w:leader="none"/>
        </w:tabs>
        <w:spacing w:before="40" w:after="40"/>
        <w:ind w:firstLine="709"/>
        <w:jc w:val="both"/>
        <w:rPr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  <w:shd w:fill="FFFFFF" w:val="clear"/>
        </w:rPr>
        <w:t>Лимиты командировочных расходов при производстве СМР и ПНР по статьям затрат следующие:</w:t>
      </w:r>
    </w:p>
    <w:p>
      <w:pPr>
        <w:pStyle w:val="ConsPlusNormal1"/>
        <w:numPr>
          <w:ilvl w:val="0"/>
          <w:numId w:val="6"/>
        </w:numPr>
        <w:tabs>
          <w:tab w:val="clear" w:pos="708"/>
          <w:tab w:val="left" w:pos="284" w:leader="none"/>
          <w:tab w:val="left" w:pos="709" w:leader="none"/>
          <w:tab w:val="left" w:pos="851" w:leader="none"/>
        </w:tabs>
        <w:spacing w:before="40" w:after="40"/>
        <w:ind w:left="0" w:firstLine="709"/>
        <w:jc w:val="both"/>
        <w:rPr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  <w:shd w:fill="FFFFFF" w:val="clear"/>
        </w:rPr>
        <w:t>суточные - 700 руб./сутки;</w:t>
      </w:r>
    </w:p>
    <w:p>
      <w:pPr>
        <w:pStyle w:val="ConsPlusNormal1"/>
        <w:numPr>
          <w:ilvl w:val="0"/>
          <w:numId w:val="6"/>
        </w:numPr>
        <w:tabs>
          <w:tab w:val="clear" w:pos="708"/>
          <w:tab w:val="left" w:pos="284" w:leader="none"/>
          <w:tab w:val="left" w:pos="709" w:leader="none"/>
          <w:tab w:val="left" w:pos="851" w:leader="none"/>
        </w:tabs>
        <w:spacing w:before="40" w:after="40"/>
        <w:ind w:left="0" w:firstLine="709"/>
        <w:jc w:val="both"/>
        <w:rPr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  <w:shd w:fill="FFFFFF" w:val="clear"/>
        </w:rPr>
        <w:t>проживание – 500 руб./сутки;</w:t>
      </w:r>
    </w:p>
    <w:p>
      <w:pPr>
        <w:pStyle w:val="ConsPlusNormal1"/>
        <w:numPr>
          <w:ilvl w:val="0"/>
          <w:numId w:val="6"/>
        </w:numPr>
        <w:tabs>
          <w:tab w:val="clear" w:pos="708"/>
          <w:tab w:val="left" w:pos="284" w:leader="none"/>
          <w:tab w:val="left" w:pos="709" w:leader="none"/>
          <w:tab w:val="left" w:pos="851" w:leader="none"/>
        </w:tabs>
        <w:spacing w:before="40" w:after="40"/>
        <w:ind w:left="0" w:firstLine="709"/>
        <w:jc w:val="both"/>
        <w:rPr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  <w:shd w:fill="FFFFFF" w:val="clear"/>
        </w:rPr>
        <w:t>проезд: поезд (купе) или самолет (класс–эконом с багажом до 20 (двадцати) кг, ручная кладь до 10 (десяти) кг).</w:t>
      </w:r>
    </w:p>
    <w:p>
      <w:pPr>
        <w:pStyle w:val="ListParagraph"/>
        <w:tabs>
          <w:tab w:val="clear" w:pos="708"/>
          <w:tab w:val="left" w:pos="709" w:leader="none"/>
          <w:tab w:val="left" w:pos="851" w:leader="none"/>
          <w:tab w:val="left" w:pos="1276" w:leader="none"/>
        </w:tabs>
        <w:spacing w:lineRule="auto" w:line="240" w:before="40" w:after="40"/>
        <w:ind w:left="0" w:hanging="0"/>
        <w:contextualSpacing w:val="false"/>
        <w:jc w:val="both"/>
        <w:rPr/>
      </w:pPr>
      <w:r>
        <w:rPr>
          <w:rFonts w:ascii="Times New Roman" w:hAnsi="Times New Roman"/>
          <w:color w:val="000000"/>
          <w:shd w:fill="FFFFFF" w:val="clear"/>
        </w:rPr>
        <w:t xml:space="preserve">      </w:t>
      </w:r>
      <w:r>
        <w:rPr>
          <w:rFonts w:ascii="Times New Roman" w:hAnsi="Times New Roman"/>
          <w:shd w:fill="FFFFFF" w:val="clear"/>
        </w:rPr>
        <w:t>27. При определении сметных затрат на демонтаж строительных конструкций и оборудования стоимость погрузки, перевозки (от строительной площадки до места утилизации или складирования) и разгрузки строительного мусора и материалов, полученных при разборке строительных конструкций и оборудования, следует учитывать дополнительно, на основании проектной и (или) иной технической документации, проекта организации работ по сносу объекта капитального строительства.</w:t>
      </w:r>
    </w:p>
    <w:p>
      <w:pPr>
        <w:pStyle w:val="ListParagraph"/>
        <w:tabs>
          <w:tab w:val="clear" w:pos="708"/>
          <w:tab w:val="left" w:pos="709" w:leader="none"/>
          <w:tab w:val="left" w:pos="851" w:leader="none"/>
          <w:tab w:val="left" w:pos="1276" w:leader="none"/>
        </w:tabs>
        <w:spacing w:lineRule="auto" w:line="240" w:before="40" w:after="40"/>
        <w:ind w:left="0" w:hanging="0"/>
        <w:contextualSpacing w:val="false"/>
        <w:jc w:val="both"/>
        <w:rPr/>
      </w:pPr>
      <w:r>
        <w:rPr>
          <w:rFonts w:ascii="Times New Roman" w:hAnsi="Times New Roman"/>
          <w:color w:val="000000"/>
          <w:shd w:fill="FFFFFF" w:val="clear"/>
        </w:rPr>
        <w:t xml:space="preserve">              </w:t>
      </w:r>
      <w:r>
        <w:rPr>
          <w:rFonts w:ascii="Times New Roman" w:hAnsi="Times New Roman"/>
          <w:shd w:fill="FFFFFF" w:val="clear"/>
        </w:rPr>
        <w:t xml:space="preserve">28. В </w:t>
      </w:r>
      <w:r>
        <w:rPr>
          <w:rFonts w:ascii="Times New Roman" w:hAnsi="Times New Roman"/>
          <w:color w:val="000000"/>
          <w:shd w:fill="FFFFFF" w:val="clear"/>
        </w:rPr>
        <w:t>локальных</w:t>
      </w:r>
      <w:r>
        <w:rPr>
          <w:rFonts w:ascii="Times New Roman" w:hAnsi="Times New Roman"/>
          <w:shd w:fill="FFFFFF" w:val="clear"/>
        </w:rPr>
        <w:t xml:space="preserve"> сметных расчетах построчные и итоговые суммы </w:t>
      </w:r>
      <w:r>
        <w:rPr>
          <w:rFonts w:ascii="Times New Roman" w:hAnsi="Times New Roman"/>
          <w:b/>
          <w:u w:val="single"/>
          <w:shd w:fill="FFFFFF" w:val="clear"/>
        </w:rPr>
        <w:t>округлять:</w:t>
      </w:r>
    </w:p>
    <w:p>
      <w:pPr>
        <w:pStyle w:val="ListParagraph"/>
        <w:numPr>
          <w:ilvl w:val="0"/>
          <w:numId w:val="6"/>
        </w:numPr>
        <w:tabs>
          <w:tab w:val="clear" w:pos="708"/>
          <w:tab w:val="left" w:pos="709" w:leader="none"/>
          <w:tab w:val="left" w:pos="851" w:leader="none"/>
          <w:tab w:val="left" w:pos="1134" w:leader="none"/>
        </w:tabs>
        <w:spacing w:before="40" w:after="40"/>
        <w:ind w:left="0" w:firstLine="709"/>
        <w:contextualSpacing/>
        <w:jc w:val="both"/>
        <w:rPr/>
      </w:pPr>
      <w:r>
        <w:rPr>
          <w:rFonts w:ascii="Times New Roman" w:hAnsi="Times New Roman"/>
          <w:shd w:fill="FFFFFF" w:val="clear"/>
        </w:rPr>
        <w:t>при ресурсно-индексном методе, а также в сметных расчетах на отдельные виды затрат - в рублях до целых единиц.</w:t>
      </w:r>
    </w:p>
    <w:p>
      <w:pPr>
        <w:pStyle w:val="ListParagraph"/>
        <w:numPr>
          <w:ilvl w:val="0"/>
          <w:numId w:val="6"/>
        </w:numPr>
        <w:tabs>
          <w:tab w:val="clear" w:pos="708"/>
          <w:tab w:val="left" w:pos="709" w:leader="none"/>
          <w:tab w:val="left" w:pos="851" w:leader="none"/>
          <w:tab w:val="left" w:pos="1134" w:leader="none"/>
        </w:tabs>
        <w:spacing w:before="40" w:after="40"/>
        <w:ind w:left="0" w:firstLine="709"/>
        <w:contextualSpacing/>
        <w:jc w:val="both"/>
        <w:rPr/>
      </w:pPr>
      <w:r>
        <w:rPr>
          <w:rFonts w:ascii="Times New Roman" w:hAnsi="Times New Roman"/>
          <w:shd w:fill="FFFFFF" w:val="clear"/>
        </w:rPr>
        <w:t>в объектных сметных расчетах (сметах), сводном сметном расчете и сводке затрат - в рублях с до двух знаков после запятой. Величину НДС не указывать.</w:t>
      </w:r>
    </w:p>
    <w:p>
      <w:pPr>
        <w:pStyle w:val="ListParagraph"/>
        <w:tabs>
          <w:tab w:val="clear" w:pos="708"/>
          <w:tab w:val="left" w:pos="709" w:leader="none"/>
          <w:tab w:val="left" w:pos="851" w:leader="none"/>
          <w:tab w:val="left" w:pos="1276" w:leader="none"/>
        </w:tabs>
        <w:spacing w:lineRule="auto" w:line="240" w:before="40" w:after="40"/>
        <w:ind w:left="0" w:hanging="0"/>
        <w:contextualSpacing w:val="false"/>
        <w:jc w:val="both"/>
        <w:rPr/>
      </w:pPr>
      <w:r>
        <w:rPr>
          <w:rFonts w:ascii="Times New Roman" w:hAnsi="Times New Roman"/>
          <w:color w:val="000000"/>
          <w:shd w:fill="FFFFFF" w:val="clear"/>
        </w:rPr>
        <w:t xml:space="preserve">      </w:t>
      </w:r>
      <w:r>
        <w:rPr>
          <w:rFonts w:ascii="Times New Roman" w:hAnsi="Times New Roman"/>
          <w:color w:val="000000"/>
          <w:shd w:fill="FFFFFF" w:val="clear"/>
        </w:rPr>
        <w:t>29. Выходные</w:t>
      </w:r>
      <w:r>
        <w:rPr>
          <w:rFonts w:ascii="Times New Roman" w:hAnsi="Times New Roman"/>
          <w:shd w:fill="FFFFFF" w:val="clear"/>
        </w:rPr>
        <w:t xml:space="preserve"> формы сметных расчетов должны соответствовать Образцу согласно Приложению 1.5.</w:t>
      </w:r>
    </w:p>
    <w:p>
      <w:pPr>
        <w:pStyle w:val="ListParagraph"/>
        <w:tabs>
          <w:tab w:val="clear" w:pos="708"/>
          <w:tab w:val="left" w:pos="709" w:leader="none"/>
          <w:tab w:val="left" w:pos="851" w:leader="none"/>
          <w:tab w:val="left" w:pos="1276" w:leader="none"/>
        </w:tabs>
        <w:spacing w:lineRule="auto" w:line="240" w:before="40" w:after="40"/>
        <w:ind w:left="0" w:hanging="0"/>
        <w:contextualSpacing w:val="false"/>
        <w:jc w:val="both"/>
        <w:rPr/>
      </w:pPr>
      <w:r>
        <w:rPr>
          <w:rFonts w:ascii="Times New Roman" w:hAnsi="Times New Roman"/>
          <w:color w:val="000000"/>
          <w:shd w:fill="FFFFFF" w:val="clear"/>
        </w:rPr>
        <w:t xml:space="preserve">      </w:t>
      </w:r>
      <w:r>
        <w:rPr>
          <w:rFonts w:ascii="Times New Roman" w:hAnsi="Times New Roman"/>
          <w:shd w:fill="FFFFFF" w:val="clear"/>
        </w:rPr>
        <w:t>30. В связи с предоставлением Заказчиком услуг, указанных в разделе Технических требований «Иные условия поставки товаров, выполнения работ, оказания услуг»</w:t>
      </w:r>
      <w:r>
        <w:rPr>
          <w:rStyle w:val="FootnoteReference"/>
          <w:rFonts w:ascii="Times New Roman" w:hAnsi="Times New Roman"/>
          <w:shd w:fill="FFFFFF" w:val="clear"/>
        </w:rPr>
        <w:footnoteReference w:id="2"/>
      </w:r>
      <w:r>
        <w:rPr>
          <w:rFonts w:ascii="Times New Roman" w:hAnsi="Times New Roman"/>
          <w:shd w:fill="FFFFFF" w:val="clear"/>
        </w:rPr>
        <w:t>:</w:t>
      </w:r>
    </w:p>
    <w:p>
      <w:pPr>
        <w:pStyle w:val="ConsPlusNormal1"/>
        <w:widowControl/>
        <w:tabs>
          <w:tab w:val="clear" w:pos="708"/>
          <w:tab w:val="left" w:pos="709" w:leader="none"/>
          <w:tab w:val="left" w:pos="851" w:leader="none"/>
          <w:tab w:val="left" w:pos="1560" w:leader="none"/>
        </w:tabs>
        <w:spacing w:before="40" w:after="40"/>
        <w:ind w:firstLine="709"/>
        <w:jc w:val="both"/>
        <w:rPr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  <w:shd w:fill="FFFFFF" w:val="clear"/>
        </w:rPr>
        <w:t xml:space="preserve">30.1 В </w:t>
      </w:r>
      <w:r>
        <w:rPr>
          <w:rFonts w:cs="Times New Roman" w:ascii="Times New Roman" w:hAnsi="Times New Roman"/>
          <w:color w:val="000000"/>
          <w:sz w:val="22"/>
          <w:szCs w:val="22"/>
          <w:shd w:fill="FFFFFF" w:val="clear"/>
        </w:rPr>
        <w:t>сметной</w:t>
      </w:r>
      <w:r>
        <w:rPr>
          <w:rFonts w:cs="Times New Roman" w:ascii="Times New Roman" w:hAnsi="Times New Roman"/>
          <w:sz w:val="22"/>
          <w:szCs w:val="22"/>
          <w:shd w:fill="FFFFFF" w:val="clear"/>
        </w:rPr>
        <w:t xml:space="preserve"> документации при определении стоимости работ по расценкам, указанным в сборниках «Базовых цен на работы по ремонту энергетического оборудования», затраты на услуги, предоставляемые Заказчиком подрядным организациям не учитывать. </w:t>
      </w:r>
    </w:p>
    <w:p>
      <w:pPr>
        <w:pStyle w:val="ConsPlusNormal1"/>
        <w:widowControl/>
        <w:tabs>
          <w:tab w:val="clear" w:pos="708"/>
          <w:tab w:val="left" w:pos="709" w:leader="none"/>
          <w:tab w:val="left" w:pos="851" w:leader="none"/>
          <w:tab w:val="left" w:pos="1560" w:leader="none"/>
        </w:tabs>
        <w:spacing w:before="40" w:after="40"/>
        <w:ind w:hanging="0"/>
        <w:jc w:val="both"/>
        <w:rPr>
          <w:sz w:val="22"/>
          <w:szCs w:val="22"/>
        </w:rPr>
      </w:pPr>
      <w:r>
        <w:rPr>
          <w:rFonts w:cs="Times New Roman" w:ascii="Times New Roman" w:hAnsi="Times New Roman"/>
          <w:color w:val="000000"/>
          <w:sz w:val="22"/>
          <w:szCs w:val="22"/>
          <w:shd w:fill="FFFFFF" w:val="clear"/>
        </w:rPr>
        <w:t xml:space="preserve">        </w:t>
      </w:r>
      <w:r>
        <w:rPr>
          <w:rFonts w:cs="Times New Roman" w:ascii="Times New Roman" w:hAnsi="Times New Roman"/>
          <w:color w:val="000000"/>
          <w:sz w:val="22"/>
          <w:szCs w:val="22"/>
          <w:shd w:fill="FFFFFF" w:val="clear"/>
        </w:rPr>
        <w:t>30.2.</w:t>
      </w:r>
      <w:r>
        <w:rPr>
          <w:rFonts w:cs="Times New Roman" w:ascii="Times New Roman" w:hAnsi="Times New Roman"/>
          <w:sz w:val="22"/>
          <w:szCs w:val="22"/>
          <w:shd w:fill="FFFFFF" w:val="clear"/>
        </w:rPr>
        <w:t xml:space="preserve"> Из норм и расценок, внесенных в ФРСН, при составлении сметной документации исключать затраты:</w:t>
      </w:r>
    </w:p>
    <w:p>
      <w:pPr>
        <w:pStyle w:val="ConsPlusNormal1"/>
        <w:widowControl/>
        <w:tabs>
          <w:tab w:val="clear" w:pos="708"/>
          <w:tab w:val="left" w:pos="709" w:leader="none"/>
          <w:tab w:val="left" w:pos="851" w:leader="none"/>
          <w:tab w:val="left" w:pos="1701" w:leader="none"/>
        </w:tabs>
        <w:spacing w:before="40" w:after="40"/>
        <w:ind w:hanging="0"/>
        <w:jc w:val="both"/>
        <w:rPr>
          <w:sz w:val="22"/>
          <w:szCs w:val="22"/>
        </w:rPr>
      </w:pPr>
      <w:r>
        <w:rPr>
          <w:rFonts w:cs="Times New Roman" w:ascii="Times New Roman" w:hAnsi="Times New Roman"/>
          <w:color w:val="000000"/>
          <w:sz w:val="22"/>
          <w:szCs w:val="22"/>
          <w:shd w:fill="FFFFFF" w:val="clear"/>
        </w:rPr>
        <w:t xml:space="preserve">         </w:t>
      </w:r>
      <w:r>
        <w:rPr>
          <w:rFonts w:cs="Times New Roman" w:ascii="Times New Roman" w:hAnsi="Times New Roman"/>
          <w:color w:val="000000"/>
          <w:sz w:val="22"/>
          <w:szCs w:val="22"/>
          <w:shd w:fill="FFFFFF" w:val="clear"/>
        </w:rPr>
        <w:t>30.2.1.</w:t>
      </w:r>
      <w:r>
        <w:rPr>
          <w:rFonts w:cs="Times New Roman" w:ascii="Times New Roman" w:hAnsi="Times New Roman"/>
          <w:sz w:val="22"/>
          <w:szCs w:val="22"/>
          <w:shd w:fill="FFFFFF" w:val="clear"/>
        </w:rPr>
        <w:t xml:space="preserve"> По предоставляемым грузоподъемным механизмам, учтенным в составе сметных норм и расценок:</w:t>
      </w:r>
    </w:p>
    <w:p>
      <w:pPr>
        <w:pStyle w:val="ConsPlusNormal1"/>
        <w:numPr>
          <w:ilvl w:val="0"/>
          <w:numId w:val="9"/>
        </w:numPr>
        <w:tabs>
          <w:tab w:val="clear" w:pos="708"/>
          <w:tab w:val="left" w:pos="709" w:leader="none"/>
          <w:tab w:val="left" w:pos="851" w:leader="none"/>
          <w:tab w:val="left" w:pos="1701" w:leader="none"/>
        </w:tabs>
        <w:spacing w:before="40" w:after="40"/>
        <w:ind w:left="0" w:firstLine="709"/>
        <w:jc w:val="both"/>
        <w:rPr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  <w:shd w:fill="FFFFFF" w:val="clear"/>
        </w:rPr>
        <w:t xml:space="preserve">Исключать из норм и расценок предоставляемые грузоподъемные механизмы. </w:t>
      </w:r>
    </w:p>
    <w:p>
      <w:pPr>
        <w:pStyle w:val="ConsPlusNormal1"/>
        <w:widowControl/>
        <w:tabs>
          <w:tab w:val="clear" w:pos="708"/>
          <w:tab w:val="left" w:pos="709" w:leader="none"/>
          <w:tab w:val="left" w:pos="851" w:leader="none"/>
          <w:tab w:val="left" w:pos="1418" w:leader="none"/>
        </w:tabs>
        <w:spacing w:before="40" w:after="40"/>
        <w:ind w:firstLine="709"/>
        <w:jc w:val="both"/>
        <w:rPr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  <w:shd w:fill="FFFFFF" w:val="clear"/>
        </w:rPr>
        <w:t>В случае использования подрядчиком собственных/арендованных механизмов полностью, либо частично, для выполнения конкретной работы на строительной площадке, из расценки на выполнение данных работ грузоподъемные механизмы не исключаются</w:t>
      </w:r>
    </w:p>
    <w:p>
      <w:pPr>
        <w:pStyle w:val="ConsPlusNormal1"/>
        <w:widowControl/>
        <w:tabs>
          <w:tab w:val="clear" w:pos="708"/>
          <w:tab w:val="left" w:pos="709" w:leader="none"/>
          <w:tab w:val="left" w:pos="851" w:leader="none"/>
          <w:tab w:val="left" w:pos="1701" w:leader="none"/>
        </w:tabs>
        <w:spacing w:before="40" w:after="40"/>
        <w:ind w:hanging="0"/>
        <w:jc w:val="both"/>
        <w:rPr>
          <w:sz w:val="22"/>
          <w:szCs w:val="22"/>
        </w:rPr>
      </w:pPr>
      <w:r>
        <w:rPr>
          <w:rFonts w:cs="Times New Roman" w:ascii="Times New Roman" w:hAnsi="Times New Roman"/>
          <w:color w:val="000000"/>
          <w:sz w:val="22"/>
          <w:szCs w:val="22"/>
          <w:shd w:fill="FFFFFF" w:val="clear"/>
        </w:rPr>
        <w:t xml:space="preserve">         </w:t>
      </w:r>
      <w:r>
        <w:rPr>
          <w:rFonts w:cs="Times New Roman" w:ascii="Times New Roman" w:hAnsi="Times New Roman"/>
          <w:color w:val="000000"/>
          <w:sz w:val="22"/>
          <w:szCs w:val="22"/>
          <w:shd w:fill="FFFFFF" w:val="clear"/>
        </w:rPr>
        <w:t>30.2.2.</w:t>
      </w:r>
      <w:r>
        <w:rPr>
          <w:rFonts w:cs="Times New Roman" w:ascii="Times New Roman" w:hAnsi="Times New Roman"/>
          <w:sz w:val="22"/>
          <w:szCs w:val="22"/>
          <w:shd w:fill="FFFFFF" w:val="clear"/>
        </w:rPr>
        <w:t xml:space="preserve"> По предоставляемой электроэнергии (в том числе, в составе стоимости машино-часа):</w:t>
      </w:r>
    </w:p>
    <w:p>
      <w:pPr>
        <w:pStyle w:val="ConsPlusNormal1"/>
        <w:numPr>
          <w:ilvl w:val="0"/>
          <w:numId w:val="9"/>
        </w:numPr>
        <w:tabs>
          <w:tab w:val="clear" w:pos="708"/>
          <w:tab w:val="left" w:pos="709" w:leader="none"/>
          <w:tab w:val="left" w:pos="851" w:leader="none"/>
          <w:tab w:val="left" w:pos="1701" w:leader="none"/>
        </w:tabs>
        <w:spacing w:before="40" w:after="40"/>
        <w:ind w:left="0" w:firstLine="709"/>
        <w:jc w:val="both"/>
        <w:rPr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  <w:shd w:fill="FFFFFF" w:val="clear"/>
        </w:rPr>
        <w:t>Рассчитанная сумма возврата стоимости электрической энергии (со знаком «–») учитывается в последней главе ССРСС, где имеется смета на СМР (как правило, в главах 1-7, если затраты по главе 8 определены на основании смет, то сумма возврата стоимости электрической энергии учитывается в главе 8)</w:t>
      </w:r>
      <w:r>
        <w:rPr>
          <w:rStyle w:val="FootnoteReference"/>
          <w:rFonts w:cs="Times New Roman" w:ascii="Times New Roman" w:hAnsi="Times New Roman"/>
          <w:sz w:val="22"/>
          <w:szCs w:val="22"/>
          <w:shd w:fill="FFFFFF" w:val="clear"/>
        </w:rPr>
        <w:footnoteReference w:id="3"/>
      </w:r>
      <w:r>
        <w:rPr>
          <w:rFonts w:cs="Times New Roman" w:ascii="Times New Roman" w:hAnsi="Times New Roman"/>
          <w:sz w:val="22"/>
          <w:szCs w:val="22"/>
          <w:shd w:fill="FFFFFF" w:val="clear"/>
        </w:rPr>
        <w:t xml:space="preserve">.  </w:t>
      </w:r>
    </w:p>
    <w:p>
      <w:pPr>
        <w:pStyle w:val="ConsPlusNormal1"/>
        <w:numPr>
          <w:ilvl w:val="0"/>
          <w:numId w:val="9"/>
        </w:numPr>
        <w:tabs>
          <w:tab w:val="clear" w:pos="708"/>
          <w:tab w:val="left" w:pos="709" w:leader="none"/>
          <w:tab w:val="left" w:pos="851" w:leader="none"/>
          <w:tab w:val="left" w:pos="1701" w:leader="none"/>
        </w:tabs>
        <w:spacing w:before="40" w:after="40"/>
        <w:ind w:left="0" w:firstLine="709"/>
        <w:jc w:val="both"/>
        <w:rPr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  <w:shd w:fill="FFFFFF" w:val="clear"/>
        </w:rPr>
        <w:t>Индекс пересчета в текущие цены применять аналогичный примененному в сметной документации.</w:t>
      </w:r>
    </w:p>
    <w:p>
      <w:pPr>
        <w:pStyle w:val="ConsPlusNormal1"/>
        <w:numPr>
          <w:ilvl w:val="0"/>
          <w:numId w:val="9"/>
        </w:numPr>
        <w:tabs>
          <w:tab w:val="clear" w:pos="708"/>
          <w:tab w:val="left" w:pos="709" w:leader="none"/>
          <w:tab w:val="left" w:pos="851" w:leader="none"/>
          <w:tab w:val="left" w:pos="1701" w:leader="none"/>
        </w:tabs>
        <w:spacing w:before="40" w:after="40"/>
        <w:ind w:left="0" w:firstLine="709"/>
        <w:jc w:val="both"/>
        <w:rPr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  <w:shd w:fill="FFFFFF" w:val="clear"/>
        </w:rPr>
        <w:t>При применении индексов по статьям затрат в сметной документации для данного ресурса применять индекс на материалы.</w:t>
      </w:r>
    </w:p>
    <w:p>
      <w:pPr>
        <w:pStyle w:val="ConsPlusNormal1"/>
        <w:widowControl/>
        <w:tabs>
          <w:tab w:val="clear" w:pos="708"/>
          <w:tab w:val="left" w:pos="709" w:leader="none"/>
          <w:tab w:val="left" w:pos="851" w:leader="none"/>
          <w:tab w:val="left" w:pos="1701" w:leader="none"/>
        </w:tabs>
        <w:spacing w:before="40" w:after="40"/>
        <w:ind w:hanging="0"/>
        <w:jc w:val="both"/>
        <w:rPr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  <w:shd w:fill="FFFFFF" w:val="clear"/>
        </w:rPr>
        <w:t xml:space="preserve">           </w:t>
      </w:r>
      <w:r>
        <w:rPr>
          <w:rFonts w:cs="Times New Roman" w:ascii="Times New Roman" w:hAnsi="Times New Roman"/>
          <w:sz w:val="22"/>
          <w:szCs w:val="22"/>
          <w:shd w:fill="FFFFFF" w:val="clear"/>
        </w:rPr>
        <w:t>30.2.3. По предоставляемому сжатому воздуху:</w:t>
      </w:r>
    </w:p>
    <w:p>
      <w:pPr>
        <w:pStyle w:val="ConsPlusNormal1"/>
        <w:numPr>
          <w:ilvl w:val="0"/>
          <w:numId w:val="9"/>
        </w:numPr>
        <w:tabs>
          <w:tab w:val="clear" w:pos="708"/>
          <w:tab w:val="left" w:pos="709" w:leader="none"/>
          <w:tab w:val="left" w:pos="851" w:leader="none"/>
          <w:tab w:val="left" w:pos="1701" w:leader="none"/>
        </w:tabs>
        <w:spacing w:before="40" w:after="40"/>
        <w:ind w:left="0" w:firstLine="709"/>
        <w:jc w:val="both"/>
        <w:rPr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  <w:shd w:fill="FFFFFF" w:val="clear"/>
        </w:rPr>
        <w:t xml:space="preserve">Из норм и расценок исключать стоимость компрессоров. </w:t>
      </w:r>
    </w:p>
    <w:p>
      <w:pPr>
        <w:pStyle w:val="ConsPlusNormal1"/>
        <w:widowControl/>
        <w:tabs>
          <w:tab w:val="clear" w:pos="708"/>
          <w:tab w:val="left" w:pos="709" w:leader="none"/>
          <w:tab w:val="left" w:pos="851" w:leader="none"/>
          <w:tab w:val="left" w:pos="1701" w:leader="none"/>
        </w:tabs>
        <w:spacing w:before="40" w:after="40"/>
        <w:ind w:hanging="0"/>
        <w:jc w:val="both"/>
        <w:rPr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  <w:shd w:fill="FFFFFF" w:val="clear"/>
        </w:rPr>
        <w:t xml:space="preserve">           </w:t>
      </w:r>
      <w:r>
        <w:rPr>
          <w:rFonts w:cs="Times New Roman" w:ascii="Times New Roman" w:hAnsi="Times New Roman"/>
          <w:sz w:val="22"/>
          <w:szCs w:val="22"/>
          <w:shd w:fill="FFFFFF" w:val="clear"/>
        </w:rPr>
        <w:t>30.2.4. По предоставляемой воде:</w:t>
      </w:r>
    </w:p>
    <w:p>
      <w:pPr>
        <w:pStyle w:val="ConsPlusNormal1"/>
        <w:numPr>
          <w:ilvl w:val="0"/>
          <w:numId w:val="9"/>
        </w:numPr>
        <w:tabs>
          <w:tab w:val="clear" w:pos="708"/>
          <w:tab w:val="left" w:pos="709" w:leader="none"/>
          <w:tab w:val="left" w:pos="851" w:leader="none"/>
          <w:tab w:val="left" w:pos="1701" w:leader="none"/>
        </w:tabs>
        <w:spacing w:before="40" w:after="40"/>
        <w:ind w:left="0" w:firstLine="709"/>
        <w:jc w:val="both"/>
        <w:rPr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  <w:shd w:fill="FFFFFF" w:val="clear"/>
        </w:rPr>
        <w:t>Из норм и расценок исключать стоимость воды.</w:t>
      </w:r>
    </w:p>
    <w:p>
      <w:pPr>
        <w:pStyle w:val="ListParagraph"/>
        <w:tabs>
          <w:tab w:val="clear" w:pos="708"/>
          <w:tab w:val="left" w:pos="709" w:leader="none"/>
          <w:tab w:val="left" w:pos="851" w:leader="none"/>
          <w:tab w:val="left" w:pos="1276" w:leader="none"/>
        </w:tabs>
        <w:spacing w:lineRule="auto" w:line="240" w:before="40" w:after="40"/>
        <w:ind w:left="0" w:hanging="0"/>
        <w:contextualSpacing w:val="false"/>
        <w:jc w:val="both"/>
        <w:rPr/>
      </w:pPr>
      <w:r>
        <w:rPr>
          <w:rFonts w:ascii="Times New Roman" w:hAnsi="Times New Roman"/>
          <w:shd w:fill="FFFFFF" w:val="clear"/>
        </w:rPr>
        <w:t xml:space="preserve">          </w:t>
      </w:r>
      <w:r>
        <w:rPr>
          <w:rFonts w:ascii="Times New Roman" w:hAnsi="Times New Roman"/>
          <w:shd w:fill="FFFFFF" w:val="clear"/>
        </w:rPr>
        <w:t>31. В сметных расчетах при исключении и добавлении ресурсов (материалов) необходимо данные ресурсы относить в отдельную позицию, не допускается изменение внутри расценки.</w:t>
      </w:r>
    </w:p>
    <w:p>
      <w:pPr>
        <w:pStyle w:val="ListParagraph"/>
        <w:tabs>
          <w:tab w:val="clear" w:pos="708"/>
          <w:tab w:val="left" w:pos="709" w:leader="none"/>
          <w:tab w:val="left" w:pos="851" w:leader="none"/>
          <w:tab w:val="left" w:pos="1276" w:leader="none"/>
        </w:tabs>
        <w:spacing w:lineRule="auto" w:line="240" w:before="40" w:after="40"/>
        <w:ind w:left="0" w:hanging="0"/>
        <w:contextualSpacing w:val="false"/>
        <w:jc w:val="both"/>
        <w:rPr/>
      </w:pPr>
      <w:r>
        <w:rPr>
          <w:rFonts w:ascii="Times New Roman" w:hAnsi="Times New Roman"/>
          <w:shd w:fill="FFFFFF" w:val="clear"/>
        </w:rPr>
        <w:t xml:space="preserve">     </w:t>
      </w:r>
      <w:r>
        <w:rPr>
          <w:rFonts w:ascii="Times New Roman" w:hAnsi="Times New Roman"/>
          <w:shd w:fill="FFFFFF" w:val="clear"/>
        </w:rPr>
        <w:t xml:space="preserve">32. ССРСС разрабатывается на объект строительства и (или) этап строительства на основании итоговых стоимостных показателей объектных и (или) локальных сметных расчетов (смет), а также сметных расчетов на отдельные виды затрат в текущем уровне цен. ССРСС составляется при наличии двух и более смет. Обязательными приложениями к ССРСС являются локальные сметы, подписанные инженером-сметчиком контрагента (подрядчика), с обязательным указанием должности, наименования организации, Ф.И.О. подписанта. Наименование и нумерация глав сводного сметного расчета не подлежат корректировке вне зависимости от состава включаемых затрат. В случае отсутствия затрат, предусматриваемых соответствующей главой сводного сметного расчета, эта глава пропускается без изменения номеров последующих глав. </w:t>
      </w:r>
      <w:r>
        <w:rPr>
          <w:rFonts w:ascii="Times New Roman" w:hAnsi="Times New Roman"/>
          <w:color w:val="000000"/>
          <w:shd w:fill="FFFFFF" w:val="clear"/>
        </w:rPr>
        <w:t>Формат ССРСС выполнять по Образцу Приложения № 1.1 к Требованиям к оформлению и составлению сметной документации на выполнение строительно-монтажных работ по программе ремонтов, реконструкции и техническому перевооружению.</w:t>
      </w:r>
    </w:p>
    <w:p>
      <w:pPr>
        <w:pStyle w:val="ListParagraph"/>
        <w:tabs>
          <w:tab w:val="clear" w:pos="708"/>
          <w:tab w:val="left" w:pos="709" w:leader="none"/>
          <w:tab w:val="left" w:pos="851" w:leader="none"/>
          <w:tab w:val="left" w:pos="1276" w:leader="none"/>
        </w:tabs>
        <w:spacing w:lineRule="auto" w:line="240" w:before="40" w:after="40"/>
        <w:ind w:left="0" w:hanging="0"/>
        <w:contextualSpacing w:val="false"/>
        <w:jc w:val="both"/>
        <w:rPr/>
      </w:pPr>
      <w:r>
        <w:rPr>
          <w:rFonts w:ascii="Times New Roman" w:hAnsi="Times New Roman"/>
          <w:shd w:fill="FFFFFF" w:val="clear"/>
        </w:rPr>
        <w:t xml:space="preserve">         </w:t>
      </w:r>
      <w:r>
        <w:rPr>
          <w:rFonts w:ascii="Times New Roman" w:hAnsi="Times New Roman"/>
          <w:shd w:fill="FFFFFF" w:val="clear"/>
        </w:rPr>
        <w:t>33. Сметная документация должна быть представлена в двух вариантах:</w:t>
      </w:r>
    </w:p>
    <w:p>
      <w:pPr>
        <w:pStyle w:val="ConsPlusNormal1"/>
        <w:numPr>
          <w:ilvl w:val="0"/>
          <w:numId w:val="6"/>
        </w:numPr>
        <w:tabs>
          <w:tab w:val="clear" w:pos="708"/>
          <w:tab w:val="left" w:pos="709" w:leader="none"/>
          <w:tab w:val="left" w:pos="851" w:leader="none"/>
          <w:tab w:val="left" w:pos="1134" w:leader="none"/>
        </w:tabs>
        <w:spacing w:before="40" w:after="40"/>
        <w:ind w:left="0" w:firstLine="709"/>
        <w:jc w:val="both"/>
        <w:rPr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  <w:shd w:fill="FFFFFF" w:val="clear"/>
        </w:rPr>
        <w:t>на бумажном носителе (количество указано в конкурсной документации) Образец ЛСР в соответствии с приложением № 1.5 к Требованиям к оформлению и составлению сметной документации на выполнение строительно-монтажных работ по программе ремонтов, реконструкции и техническому перевооружению;</w:t>
      </w:r>
    </w:p>
    <w:p>
      <w:pPr>
        <w:pStyle w:val="ConsPlusNormal1"/>
        <w:numPr>
          <w:ilvl w:val="0"/>
          <w:numId w:val="6"/>
        </w:numPr>
        <w:tabs>
          <w:tab w:val="clear" w:pos="708"/>
          <w:tab w:val="left" w:pos="709" w:leader="none"/>
          <w:tab w:val="left" w:pos="851" w:leader="none"/>
        </w:tabs>
        <w:spacing w:before="40" w:after="40"/>
        <w:ind w:left="0" w:firstLine="709"/>
        <w:jc w:val="both"/>
        <w:rPr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  <w:shd w:fill="FFFFFF" w:val="clear"/>
        </w:rPr>
        <w:t>на электронном носителе (в формате «xml» ПК «Гранд-Смета», «Excel», «pdf»), полностью соответствующему, бумажному варианту. Сметная документация в формате «Excel» должна быть представлена в одном файле с внесением ССР, ЛСР и других расчетов на отдельные листы (вкладки) документа.</w:t>
      </w:r>
    </w:p>
    <w:p>
      <w:pPr>
        <w:pStyle w:val="ConsPlusNormal1"/>
        <w:numPr>
          <w:ilvl w:val="0"/>
          <w:numId w:val="6"/>
        </w:numPr>
        <w:tabs>
          <w:tab w:val="clear" w:pos="708"/>
          <w:tab w:val="left" w:pos="709" w:leader="none"/>
          <w:tab w:val="left" w:pos="851" w:leader="none"/>
        </w:tabs>
        <w:spacing w:before="40" w:after="40"/>
        <w:ind w:left="0" w:firstLine="709"/>
        <w:jc w:val="both"/>
        <w:rPr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  <w:shd w:fill="FFFFFF" w:val="clear"/>
        </w:rPr>
        <w:t>в формате ПК «Гранд-смета» выходная форма для печати указана ниже:</w:t>
      </w:r>
    </w:p>
    <w:p>
      <w:pPr>
        <w:pStyle w:val="Normal"/>
        <w:spacing w:lineRule="auto" w:line="240" w:before="0" w:after="0"/>
        <w:ind w:left="5811" w:hanging="0"/>
        <w:rPr>
          <w:rFonts w:ascii="Times New Roman" w:hAnsi="Times New Roman"/>
          <w:color w:val="000000"/>
          <w:shd w:fill="FFFFFF" w:val="clear"/>
        </w:rPr>
      </w:pPr>
      <w:r>
        <w:rPr>
          <w:rFonts w:ascii="Times New Roman" w:hAnsi="Times New Roman"/>
          <w:color w:val="000000"/>
          <w:shd w:fill="FFFFFF" w:val="clear"/>
        </w:rPr>
      </w:r>
    </w:p>
    <w:p>
      <w:pPr>
        <w:pStyle w:val="Normal"/>
        <w:spacing w:lineRule="auto" w:line="240" w:before="0" w:after="0"/>
        <w:ind w:left="5811" w:hanging="0"/>
        <w:rPr>
          <w:rFonts w:ascii="Times New Roman" w:hAnsi="Times New Roman"/>
          <w:color w:val="000000"/>
          <w:shd w:fill="FFFFFF" w:val="clear"/>
        </w:rPr>
      </w:pPr>
      <w:r>
        <w:rPr>
          <w:rFonts w:ascii="Times New Roman" w:hAnsi="Times New Roman"/>
          <w:color w:val="000000"/>
          <w:shd w:fill="FFFFFF" w:val="clear"/>
        </w:rPr>
      </w:r>
    </w:p>
    <w:p>
      <w:pPr>
        <w:pStyle w:val="Normal"/>
        <w:spacing w:lineRule="auto" w:line="240" w:before="0" w:after="0"/>
        <w:ind w:left="5811" w:hanging="0"/>
        <w:rPr>
          <w:rFonts w:ascii="Times New Roman" w:hAnsi="Times New Roman"/>
          <w:color w:val="000000"/>
          <w:shd w:fill="FFFFFF" w:val="clear"/>
        </w:rPr>
      </w:pPr>
      <w:r>
        <w:rPr>
          <w:rFonts w:ascii="Times New Roman" w:hAnsi="Times New Roman"/>
          <w:color w:val="000000"/>
          <w:shd w:fill="FFFFFF" w:val="clear"/>
        </w:rPr>
      </w:r>
    </w:p>
    <w:p>
      <w:pPr>
        <w:pStyle w:val="Normal"/>
        <w:spacing w:lineRule="auto" w:line="240" w:before="0" w:after="0"/>
        <w:ind w:left="283" w:hanging="0"/>
        <w:rPr>
          <w:rFonts w:ascii="Times New Roman" w:hAnsi="Times New Roman"/>
          <w:color w:val="000000"/>
          <w:sz w:val="20"/>
          <w:szCs w:val="20"/>
          <w:shd w:fill="FFFFFF" w:val="clear"/>
        </w:rPr>
      </w:pPr>
      <w:r>
        <w:rPr/>
        <w:drawing>
          <wp:inline distT="0" distB="0" distL="0" distR="0">
            <wp:extent cx="5979795" cy="3363595"/>
            <wp:effectExtent l="0" t="0" r="0" b="0"/>
            <wp:docPr id="1" name="Рисунок 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 l="-4" t="-7" r="-4" b="-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9795" cy="3363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spacing w:lineRule="auto" w:line="240" w:before="0" w:after="0"/>
        <w:ind w:left="737" w:hanging="0"/>
        <w:rPr>
          <w:shd w:fill="FFFFFF" w:val="clear"/>
        </w:rPr>
      </w:pPr>
      <w:r>
        <w:rPr>
          <w:shd w:fill="FFFFFF" w:val="clear"/>
        </w:rPr>
      </w:r>
    </w:p>
    <w:p>
      <w:pPr>
        <w:pStyle w:val="Normal"/>
        <w:spacing w:lineRule="auto" w:line="240" w:before="0" w:after="0"/>
        <w:ind w:left="5811" w:hanging="0"/>
        <w:rPr>
          <w:rFonts w:ascii="Times New Roman" w:hAnsi="Times New Roman"/>
          <w:color w:val="000000"/>
          <w:sz w:val="20"/>
          <w:szCs w:val="20"/>
          <w:shd w:fill="FFFFFF" w:val="clear"/>
        </w:rPr>
      </w:pPr>
      <w:r>
        <w:rPr>
          <w:rFonts w:ascii="Times New Roman" w:hAnsi="Times New Roman"/>
          <w:color w:val="000000"/>
          <w:sz w:val="20"/>
          <w:szCs w:val="20"/>
          <w:shd w:fill="FFFFFF" w:val="clear"/>
        </w:rPr>
      </w:r>
    </w:p>
    <w:p>
      <w:pPr>
        <w:pStyle w:val="Normal"/>
        <w:spacing w:lineRule="auto" w:line="240" w:before="0" w:after="0"/>
        <w:ind w:left="5811" w:hanging="0"/>
        <w:rPr>
          <w:rFonts w:ascii="Times New Roman" w:hAnsi="Times New Roman"/>
          <w:color w:val="000000"/>
          <w:sz w:val="20"/>
          <w:szCs w:val="20"/>
          <w:shd w:fill="FFFFFF" w:val="clear"/>
        </w:rPr>
      </w:pPr>
      <w:r>
        <w:rPr>
          <w:rFonts w:ascii="Times New Roman" w:hAnsi="Times New Roman"/>
          <w:color w:val="000000"/>
          <w:sz w:val="20"/>
          <w:szCs w:val="20"/>
          <w:shd w:fill="FFFFFF" w:val="clear"/>
        </w:rPr>
      </w:r>
    </w:p>
    <w:p>
      <w:pPr>
        <w:pStyle w:val="Normal"/>
        <w:spacing w:lineRule="auto" w:line="240" w:before="0" w:after="0"/>
        <w:ind w:left="5811" w:hanging="0"/>
        <w:rPr>
          <w:rFonts w:ascii="Times New Roman" w:hAnsi="Times New Roman"/>
          <w:color w:val="000000"/>
          <w:sz w:val="20"/>
          <w:szCs w:val="20"/>
          <w:shd w:fill="FFFFFF" w:val="clear"/>
        </w:rPr>
      </w:pPr>
      <w:r>
        <w:rPr>
          <w:rFonts w:ascii="Times New Roman" w:hAnsi="Times New Roman"/>
          <w:color w:val="000000"/>
          <w:sz w:val="20"/>
          <w:szCs w:val="20"/>
          <w:shd w:fill="FFFFFF" w:val="clear"/>
        </w:rPr>
      </w:r>
    </w:p>
    <w:p>
      <w:pPr>
        <w:pStyle w:val="Normal"/>
        <w:spacing w:lineRule="auto" w:line="240" w:before="0" w:after="0"/>
        <w:ind w:left="5811" w:hanging="0"/>
        <w:rPr>
          <w:rFonts w:ascii="Times New Roman" w:hAnsi="Times New Roman"/>
          <w:color w:val="000000"/>
          <w:sz w:val="20"/>
          <w:szCs w:val="20"/>
          <w:shd w:fill="FFFFFF" w:val="clear"/>
        </w:rPr>
      </w:pPr>
      <w:r>
        <w:rPr>
          <w:rFonts w:ascii="Times New Roman" w:hAnsi="Times New Roman"/>
          <w:color w:val="000000"/>
          <w:sz w:val="20"/>
          <w:szCs w:val="20"/>
          <w:shd w:fill="FFFFFF" w:val="clear"/>
        </w:rPr>
      </w:r>
    </w:p>
    <w:p>
      <w:pPr>
        <w:pStyle w:val="Normal"/>
        <w:spacing w:lineRule="auto" w:line="240" w:before="0" w:after="0"/>
        <w:ind w:left="5811" w:hanging="0"/>
        <w:rPr>
          <w:rFonts w:ascii="Times New Roman" w:hAnsi="Times New Roman"/>
          <w:color w:val="000000"/>
          <w:sz w:val="20"/>
          <w:szCs w:val="20"/>
          <w:shd w:fill="FFFFFF" w:val="clear"/>
        </w:rPr>
      </w:pPr>
      <w:r>
        <w:rPr>
          <w:rFonts w:ascii="Times New Roman" w:hAnsi="Times New Roman"/>
          <w:color w:val="000000"/>
          <w:sz w:val="20"/>
          <w:szCs w:val="20"/>
          <w:shd w:fill="FFFFFF" w:val="clear"/>
        </w:rPr>
      </w:r>
    </w:p>
    <w:p>
      <w:pPr>
        <w:pStyle w:val="Normal"/>
        <w:spacing w:lineRule="auto" w:line="240" w:before="0" w:after="0"/>
        <w:ind w:left="5811" w:hanging="0"/>
        <w:rPr>
          <w:rFonts w:ascii="Times New Roman" w:hAnsi="Times New Roman"/>
          <w:color w:val="000000"/>
          <w:sz w:val="20"/>
          <w:szCs w:val="20"/>
          <w:shd w:fill="FFFFFF" w:val="clear"/>
        </w:rPr>
      </w:pPr>
      <w:r>
        <w:rPr>
          <w:rFonts w:ascii="Times New Roman" w:hAnsi="Times New Roman"/>
          <w:color w:val="000000"/>
          <w:sz w:val="20"/>
          <w:szCs w:val="20"/>
          <w:shd w:fill="FFFFFF" w:val="clear"/>
        </w:rPr>
      </w:r>
    </w:p>
    <w:p>
      <w:pPr>
        <w:pStyle w:val="Normal"/>
        <w:spacing w:lineRule="auto" w:line="240" w:before="0" w:after="0"/>
        <w:ind w:left="5811" w:hanging="0"/>
        <w:rPr>
          <w:rFonts w:ascii="Times New Roman" w:hAnsi="Times New Roman"/>
          <w:color w:val="000000"/>
          <w:sz w:val="20"/>
          <w:szCs w:val="20"/>
          <w:shd w:fill="FFFFFF" w:val="clear"/>
        </w:rPr>
      </w:pPr>
      <w:r>
        <w:rPr>
          <w:rFonts w:ascii="Times New Roman" w:hAnsi="Times New Roman"/>
          <w:color w:val="000000"/>
          <w:sz w:val="20"/>
          <w:szCs w:val="20"/>
          <w:shd w:fill="FFFFFF" w:val="clear"/>
        </w:rPr>
      </w:r>
    </w:p>
    <w:p>
      <w:pPr>
        <w:pStyle w:val="Normal"/>
        <w:spacing w:lineRule="auto" w:line="240" w:before="0" w:after="0"/>
        <w:ind w:left="5811" w:hanging="0"/>
        <w:rPr>
          <w:rFonts w:ascii="Times New Roman" w:hAnsi="Times New Roman"/>
          <w:color w:val="000000"/>
          <w:sz w:val="20"/>
          <w:szCs w:val="20"/>
          <w:shd w:fill="FFFFFF" w:val="clear"/>
        </w:rPr>
      </w:pPr>
      <w:r>
        <w:rPr>
          <w:rFonts w:ascii="Times New Roman" w:hAnsi="Times New Roman"/>
          <w:color w:val="000000"/>
          <w:sz w:val="20"/>
          <w:szCs w:val="20"/>
          <w:shd w:fill="FFFFFF" w:val="clear"/>
        </w:rPr>
      </w:r>
    </w:p>
    <w:p>
      <w:pPr>
        <w:pStyle w:val="Normal"/>
        <w:spacing w:lineRule="auto" w:line="240" w:before="0" w:after="0"/>
        <w:ind w:left="5811" w:hanging="0"/>
        <w:rPr>
          <w:rFonts w:ascii="Times New Roman" w:hAnsi="Times New Roman"/>
          <w:color w:val="000000"/>
          <w:sz w:val="20"/>
          <w:szCs w:val="20"/>
          <w:shd w:fill="FFFFFF" w:val="clear"/>
        </w:rPr>
      </w:pPr>
      <w:r>
        <w:rPr>
          <w:rFonts w:ascii="Times New Roman" w:hAnsi="Times New Roman"/>
          <w:color w:val="000000"/>
          <w:sz w:val="20"/>
          <w:szCs w:val="20"/>
          <w:shd w:fill="FFFFFF" w:val="clear"/>
        </w:rPr>
      </w:r>
    </w:p>
    <w:p>
      <w:pPr>
        <w:pStyle w:val="Normal"/>
        <w:spacing w:lineRule="auto" w:line="240" w:before="0" w:after="0"/>
        <w:ind w:left="5811" w:hanging="0"/>
        <w:rPr>
          <w:rFonts w:ascii="Times New Roman" w:hAnsi="Times New Roman"/>
          <w:color w:val="000000"/>
          <w:sz w:val="20"/>
          <w:szCs w:val="20"/>
          <w:shd w:fill="FFFFFF" w:val="clear"/>
        </w:rPr>
      </w:pPr>
      <w:r>
        <w:rPr>
          <w:rFonts w:ascii="Times New Roman" w:hAnsi="Times New Roman"/>
          <w:color w:val="000000"/>
          <w:sz w:val="20"/>
          <w:szCs w:val="20"/>
          <w:shd w:fill="FFFFFF" w:val="clear"/>
        </w:rPr>
      </w:r>
    </w:p>
    <w:p>
      <w:pPr>
        <w:pStyle w:val="Normal"/>
        <w:spacing w:lineRule="auto" w:line="240" w:before="0" w:after="0"/>
        <w:ind w:left="5811" w:hanging="0"/>
        <w:rPr>
          <w:rFonts w:ascii="Times New Roman" w:hAnsi="Times New Roman"/>
          <w:color w:val="000000"/>
          <w:sz w:val="20"/>
          <w:szCs w:val="20"/>
          <w:shd w:fill="FFFFFF" w:val="clear"/>
        </w:rPr>
      </w:pPr>
      <w:r>
        <w:rPr>
          <w:rFonts w:ascii="Times New Roman" w:hAnsi="Times New Roman"/>
          <w:color w:val="000000"/>
          <w:sz w:val="20"/>
          <w:szCs w:val="20"/>
          <w:shd w:fill="FFFFFF" w:val="clear"/>
        </w:rPr>
      </w:r>
    </w:p>
    <w:p>
      <w:pPr>
        <w:pStyle w:val="Normal"/>
        <w:spacing w:lineRule="auto" w:line="240" w:before="0" w:after="0"/>
        <w:ind w:left="5811" w:hanging="0"/>
        <w:rPr>
          <w:rFonts w:ascii="Times New Roman" w:hAnsi="Times New Roman"/>
          <w:color w:val="000000"/>
          <w:sz w:val="20"/>
          <w:szCs w:val="20"/>
          <w:shd w:fill="FFFFFF" w:val="clear"/>
        </w:rPr>
      </w:pPr>
      <w:r>
        <w:rPr>
          <w:rFonts w:ascii="Times New Roman" w:hAnsi="Times New Roman"/>
          <w:color w:val="000000"/>
          <w:sz w:val="20"/>
          <w:szCs w:val="20"/>
          <w:shd w:fill="FFFFFF" w:val="clear"/>
        </w:rPr>
      </w:r>
    </w:p>
    <w:p>
      <w:pPr>
        <w:pStyle w:val="Normal"/>
        <w:spacing w:lineRule="auto" w:line="240" w:before="0" w:after="0"/>
        <w:ind w:left="5811" w:hanging="0"/>
        <w:rPr>
          <w:rFonts w:ascii="Times New Roman" w:hAnsi="Times New Roman"/>
          <w:color w:val="000000"/>
          <w:sz w:val="20"/>
          <w:szCs w:val="20"/>
          <w:shd w:fill="FFFFFF" w:val="clear"/>
        </w:rPr>
      </w:pPr>
      <w:r>
        <w:rPr>
          <w:rFonts w:ascii="Times New Roman" w:hAnsi="Times New Roman"/>
          <w:color w:val="000000"/>
          <w:sz w:val="20"/>
          <w:szCs w:val="20"/>
          <w:shd w:fill="FFFFFF" w:val="clear"/>
        </w:rPr>
      </w:r>
    </w:p>
    <w:p>
      <w:pPr>
        <w:pStyle w:val="Normal"/>
        <w:spacing w:lineRule="auto" w:line="240" w:before="0" w:after="0"/>
        <w:ind w:left="5811" w:hanging="0"/>
        <w:rPr>
          <w:rFonts w:ascii="Times New Roman" w:hAnsi="Times New Roman"/>
          <w:color w:val="000000"/>
          <w:sz w:val="20"/>
          <w:szCs w:val="20"/>
          <w:shd w:fill="FFFFFF" w:val="clear"/>
        </w:rPr>
      </w:pPr>
      <w:r>
        <w:rPr>
          <w:rFonts w:ascii="Times New Roman" w:hAnsi="Times New Roman"/>
          <w:color w:val="000000"/>
          <w:sz w:val="20"/>
          <w:szCs w:val="20"/>
          <w:shd w:fill="FFFFFF" w:val="clear"/>
        </w:rPr>
      </w:r>
    </w:p>
    <w:p>
      <w:pPr>
        <w:pStyle w:val="Normal"/>
        <w:spacing w:lineRule="auto" w:line="240" w:before="0" w:after="0"/>
        <w:ind w:left="5811" w:hanging="0"/>
        <w:rPr>
          <w:rFonts w:ascii="Times New Roman" w:hAnsi="Times New Roman"/>
          <w:color w:val="000000"/>
          <w:sz w:val="20"/>
          <w:szCs w:val="20"/>
          <w:shd w:fill="FFFFFF" w:val="clear"/>
        </w:rPr>
      </w:pPr>
      <w:r>
        <w:rPr>
          <w:rFonts w:ascii="Times New Roman" w:hAnsi="Times New Roman"/>
          <w:color w:val="000000"/>
          <w:sz w:val="20"/>
          <w:szCs w:val="20"/>
          <w:shd w:fill="FFFFFF" w:val="clear"/>
        </w:rPr>
      </w:r>
    </w:p>
    <w:p>
      <w:pPr>
        <w:pStyle w:val="Normal"/>
        <w:spacing w:lineRule="auto" w:line="240" w:before="0" w:after="0"/>
        <w:ind w:left="5811" w:hanging="0"/>
        <w:rPr>
          <w:rFonts w:ascii="Times New Roman" w:hAnsi="Times New Roman"/>
          <w:color w:val="000000"/>
          <w:sz w:val="20"/>
          <w:szCs w:val="20"/>
          <w:shd w:fill="FFFFFF" w:val="clear"/>
        </w:rPr>
      </w:pPr>
      <w:r>
        <w:rPr>
          <w:rFonts w:ascii="Times New Roman" w:hAnsi="Times New Roman"/>
          <w:color w:val="000000"/>
          <w:sz w:val="20"/>
          <w:szCs w:val="20"/>
          <w:shd w:fill="FFFFFF" w:val="clear"/>
        </w:rPr>
      </w:r>
    </w:p>
    <w:p>
      <w:pPr>
        <w:pStyle w:val="Normal"/>
        <w:spacing w:lineRule="auto" w:line="240" w:before="0" w:after="0"/>
        <w:ind w:left="5811" w:hanging="0"/>
        <w:rPr>
          <w:rFonts w:ascii="Times New Roman" w:hAnsi="Times New Roman"/>
          <w:color w:val="000000"/>
          <w:sz w:val="20"/>
          <w:szCs w:val="20"/>
          <w:shd w:fill="FFFFFF" w:val="clear"/>
        </w:rPr>
      </w:pPr>
      <w:r>
        <w:rPr>
          <w:rFonts w:ascii="Times New Roman" w:hAnsi="Times New Roman"/>
          <w:color w:val="000000"/>
          <w:sz w:val="20"/>
          <w:szCs w:val="20"/>
          <w:shd w:fill="FFFFFF" w:val="clear"/>
        </w:rPr>
      </w:r>
    </w:p>
    <w:p>
      <w:pPr>
        <w:pStyle w:val="Normal"/>
        <w:spacing w:lineRule="auto" w:line="240" w:before="0" w:after="0"/>
        <w:ind w:left="5811" w:hanging="0"/>
        <w:rPr>
          <w:rFonts w:ascii="Times New Roman" w:hAnsi="Times New Roman"/>
          <w:color w:val="000000"/>
          <w:sz w:val="20"/>
          <w:szCs w:val="20"/>
          <w:shd w:fill="FFFFFF" w:val="clear"/>
        </w:rPr>
      </w:pPr>
      <w:r>
        <w:rPr>
          <w:rFonts w:ascii="Times New Roman" w:hAnsi="Times New Roman"/>
          <w:color w:val="000000"/>
          <w:sz w:val="20"/>
          <w:szCs w:val="20"/>
          <w:shd w:fill="FFFFFF" w:val="clear"/>
        </w:rPr>
      </w:r>
    </w:p>
    <w:p>
      <w:pPr>
        <w:pStyle w:val="Normal"/>
        <w:spacing w:lineRule="auto" w:line="240" w:before="0" w:after="0"/>
        <w:ind w:left="5811" w:hanging="0"/>
        <w:rPr>
          <w:rFonts w:ascii="Times New Roman" w:hAnsi="Times New Roman"/>
          <w:color w:val="000000"/>
          <w:sz w:val="20"/>
          <w:szCs w:val="20"/>
          <w:shd w:fill="FFFFFF" w:val="clear"/>
        </w:rPr>
      </w:pPr>
      <w:r>
        <w:rPr>
          <w:rFonts w:ascii="Times New Roman" w:hAnsi="Times New Roman"/>
          <w:color w:val="000000"/>
          <w:sz w:val="20"/>
          <w:szCs w:val="20"/>
          <w:shd w:fill="FFFFFF" w:val="clear"/>
        </w:rPr>
      </w:r>
    </w:p>
    <w:p>
      <w:pPr>
        <w:pStyle w:val="Normal"/>
        <w:spacing w:lineRule="auto" w:line="240" w:before="0" w:after="0"/>
        <w:ind w:left="5811" w:hanging="0"/>
        <w:rPr>
          <w:rFonts w:ascii="Times New Roman" w:hAnsi="Times New Roman"/>
          <w:color w:val="000000"/>
          <w:sz w:val="20"/>
          <w:szCs w:val="20"/>
          <w:shd w:fill="FFFFFF" w:val="clear"/>
        </w:rPr>
      </w:pPr>
      <w:r>
        <w:rPr>
          <w:rFonts w:ascii="Times New Roman" w:hAnsi="Times New Roman"/>
          <w:color w:val="000000"/>
          <w:sz w:val="20"/>
          <w:szCs w:val="20"/>
          <w:shd w:fill="FFFFFF" w:val="clear"/>
        </w:rPr>
      </w:r>
    </w:p>
    <w:p>
      <w:pPr>
        <w:pStyle w:val="Normal"/>
        <w:spacing w:lineRule="auto" w:line="240" w:before="0" w:after="0"/>
        <w:ind w:left="5811" w:hanging="0"/>
        <w:rPr>
          <w:rFonts w:ascii="Times New Roman" w:hAnsi="Times New Roman"/>
          <w:color w:val="000000"/>
          <w:sz w:val="20"/>
          <w:szCs w:val="20"/>
          <w:shd w:fill="FFFFFF" w:val="clear"/>
        </w:rPr>
      </w:pPr>
      <w:r>
        <w:rPr>
          <w:rFonts w:ascii="Times New Roman" w:hAnsi="Times New Roman"/>
          <w:color w:val="000000"/>
          <w:sz w:val="20"/>
          <w:szCs w:val="20"/>
          <w:shd w:fill="FFFFFF" w:val="clear"/>
        </w:rPr>
      </w:r>
    </w:p>
    <w:p>
      <w:pPr>
        <w:pStyle w:val="Normal"/>
        <w:spacing w:lineRule="auto" w:line="240" w:before="0" w:after="0"/>
        <w:ind w:left="5811" w:hanging="0"/>
        <w:rPr>
          <w:rFonts w:ascii="Times New Roman" w:hAnsi="Times New Roman"/>
          <w:color w:val="000000"/>
          <w:sz w:val="20"/>
          <w:szCs w:val="20"/>
          <w:shd w:fill="FFFFFF" w:val="clear"/>
        </w:rPr>
      </w:pPr>
      <w:r>
        <w:rPr>
          <w:rFonts w:ascii="Times New Roman" w:hAnsi="Times New Roman"/>
          <w:color w:val="000000"/>
          <w:sz w:val="20"/>
          <w:szCs w:val="20"/>
          <w:shd w:fill="FFFFFF" w:val="clear"/>
        </w:rPr>
      </w:r>
    </w:p>
    <w:p>
      <w:pPr>
        <w:pStyle w:val="Normal"/>
        <w:spacing w:lineRule="auto" w:line="240" w:before="0" w:after="0"/>
        <w:ind w:left="5811" w:hanging="0"/>
        <w:rPr>
          <w:rFonts w:ascii="Times New Roman" w:hAnsi="Times New Roman"/>
          <w:color w:val="000000"/>
          <w:sz w:val="20"/>
          <w:szCs w:val="20"/>
          <w:shd w:fill="FFFFFF" w:val="clear"/>
        </w:rPr>
      </w:pPr>
      <w:r>
        <w:rPr>
          <w:rFonts w:ascii="Times New Roman" w:hAnsi="Times New Roman"/>
          <w:color w:val="000000"/>
          <w:sz w:val="20"/>
          <w:szCs w:val="20"/>
          <w:shd w:fill="FFFFFF" w:val="clear"/>
        </w:rPr>
      </w:r>
    </w:p>
    <w:p>
      <w:pPr>
        <w:pStyle w:val="Normal"/>
        <w:spacing w:lineRule="auto" w:line="240" w:before="0" w:after="0"/>
        <w:ind w:left="5811" w:hanging="0"/>
        <w:rPr>
          <w:rFonts w:ascii="Times New Roman" w:hAnsi="Times New Roman"/>
          <w:color w:val="000000"/>
          <w:sz w:val="20"/>
          <w:szCs w:val="20"/>
          <w:shd w:fill="FFFFFF" w:val="clear"/>
        </w:rPr>
      </w:pPr>
      <w:r>
        <w:rPr>
          <w:rFonts w:ascii="Times New Roman" w:hAnsi="Times New Roman"/>
          <w:color w:val="000000"/>
          <w:sz w:val="20"/>
          <w:szCs w:val="20"/>
          <w:shd w:fill="FFFFFF" w:val="clear"/>
        </w:rPr>
      </w:r>
    </w:p>
    <w:p>
      <w:pPr>
        <w:pStyle w:val="Normal"/>
        <w:spacing w:lineRule="auto" w:line="240" w:before="0" w:after="0"/>
        <w:ind w:left="5811" w:hanging="0"/>
        <w:rPr>
          <w:rFonts w:ascii="Times New Roman" w:hAnsi="Times New Roman"/>
          <w:color w:val="000000"/>
          <w:sz w:val="20"/>
          <w:szCs w:val="20"/>
          <w:shd w:fill="FFFFFF" w:val="clear"/>
        </w:rPr>
      </w:pPr>
      <w:r>
        <w:rPr>
          <w:rFonts w:ascii="Times New Roman" w:hAnsi="Times New Roman"/>
          <w:color w:val="000000"/>
          <w:sz w:val="20"/>
          <w:szCs w:val="20"/>
          <w:shd w:fill="FFFFFF" w:val="clear"/>
        </w:rPr>
      </w:r>
    </w:p>
    <w:p>
      <w:pPr>
        <w:pStyle w:val="Normal"/>
        <w:spacing w:lineRule="auto" w:line="240" w:before="0" w:after="0"/>
        <w:ind w:left="5812" w:hanging="0"/>
        <w:rPr>
          <w:shd w:fill="FFFFFF" w:val="clear"/>
        </w:rPr>
      </w:pPr>
      <w:r>
        <w:rPr>
          <w:rFonts w:ascii="Times New Roman" w:hAnsi="Times New Roman"/>
          <w:color w:val="000000"/>
          <w:sz w:val="20"/>
          <w:szCs w:val="20"/>
          <w:shd w:fill="FFFFFF" w:val="clear"/>
        </w:rPr>
        <w:t xml:space="preserve">Приложение 1 </w:t>
      </w:r>
    </w:p>
    <w:p>
      <w:pPr>
        <w:pStyle w:val="Normal"/>
        <w:spacing w:lineRule="auto" w:line="240" w:before="0" w:after="0"/>
        <w:ind w:left="5811" w:hanging="0"/>
        <w:rPr>
          <w:shd w:fill="FFFFFF" w:val="clear"/>
        </w:rPr>
      </w:pPr>
      <w:r>
        <w:rPr>
          <w:rFonts w:ascii="Times New Roman" w:hAnsi="Times New Roman"/>
          <w:color w:val="000000"/>
          <w:sz w:val="20"/>
          <w:shd w:fill="FFFFFF" w:val="clear"/>
        </w:rPr>
        <w:t xml:space="preserve">к Требованиям к оформлению и составлению сметной документации </w:t>
      </w:r>
    </w:p>
    <w:p>
      <w:pPr>
        <w:pStyle w:val="Normal"/>
        <w:spacing w:lineRule="auto" w:line="240" w:before="0" w:after="0"/>
        <w:ind w:left="5811" w:hanging="0"/>
        <w:rPr>
          <w:shd w:fill="FFFFFF" w:val="clear"/>
        </w:rPr>
      </w:pPr>
      <w:r>
        <w:rPr>
          <w:rFonts w:ascii="Times New Roman" w:hAnsi="Times New Roman"/>
          <w:color w:val="000000"/>
          <w:sz w:val="20"/>
          <w:u w:val="single"/>
          <w:shd w:fill="FFFFFF" w:val="clear"/>
        </w:rPr>
        <w:t>на выполнение работ по программе ремонтов, реконструкции и техническому перевооружению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hd w:fill="FFFFFF" w:val="clear"/>
        </w:rPr>
      </w:pPr>
      <w:r>
        <w:rPr>
          <w:rFonts w:ascii="Times New Roman" w:hAnsi="Times New Roman"/>
          <w:shd w:fill="FFFFFF" w:val="clear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shd w:fill="FFFFFF" w:val="clear"/>
        </w:rPr>
      </w:pPr>
      <w:r>
        <w:rPr>
          <w:rFonts w:ascii="Times New Roman" w:hAnsi="Times New Roman"/>
          <w:b/>
          <w:shd w:fill="FFFFFF" w:val="clear"/>
        </w:rPr>
      </w:r>
    </w:p>
    <w:p>
      <w:pPr>
        <w:pStyle w:val="Normal"/>
        <w:spacing w:lineRule="auto" w:line="240" w:before="0" w:after="0"/>
        <w:jc w:val="center"/>
        <w:rPr>
          <w:shd w:fill="FFFFFF" w:val="clear"/>
        </w:rPr>
      </w:pPr>
      <w:r>
        <w:rPr>
          <w:rFonts w:ascii="Times New Roman" w:hAnsi="Times New Roman"/>
          <w:b/>
          <w:shd w:fill="FFFFFF" w:val="clear"/>
        </w:rPr>
        <w:t>Требования к оформлению и составлению сводного сметного расчета</w:t>
      </w:r>
    </w:p>
    <w:p>
      <w:pPr>
        <w:pStyle w:val="Normal"/>
        <w:spacing w:lineRule="auto" w:line="240" w:before="0" w:after="0"/>
        <w:jc w:val="center"/>
        <w:rPr>
          <w:shd w:fill="FFFFFF" w:val="clear"/>
        </w:rPr>
      </w:pPr>
      <w:r>
        <w:rPr>
          <w:rFonts w:ascii="Times New Roman" w:hAnsi="Times New Roman"/>
          <w:b/>
          <w:shd w:fill="FFFFFF" w:val="clear"/>
        </w:rPr>
        <w:t xml:space="preserve"> </w:t>
      </w:r>
      <w:r>
        <w:rPr>
          <w:rFonts w:ascii="Times New Roman" w:hAnsi="Times New Roman"/>
          <w:b/>
          <w:shd w:fill="FFFFFF" w:val="clear"/>
        </w:rPr>
        <w:t>к договорам на реконструкцию, техническое перевооружение и дополнительным соглашениям к указанным договорам.</w:t>
      </w:r>
    </w:p>
    <w:p>
      <w:pPr>
        <w:pStyle w:val="ConsPlusNormal1"/>
        <w:widowControl/>
        <w:ind w:hanging="0"/>
        <w:jc w:val="both"/>
        <w:rPr>
          <w:rFonts w:ascii="Times New Roman" w:hAnsi="Times New Roman" w:cs="Times New Roman"/>
          <w:sz w:val="22"/>
          <w:szCs w:val="22"/>
          <w:shd w:fill="FFFFFF" w:val="clear"/>
        </w:rPr>
      </w:pPr>
      <w:r>
        <w:rPr>
          <w:rFonts w:cs="Times New Roman" w:ascii="Times New Roman" w:hAnsi="Times New Roman"/>
          <w:sz w:val="22"/>
          <w:szCs w:val="22"/>
          <w:shd w:fill="FFFFFF" w:val="clear"/>
        </w:rPr>
      </w:r>
    </w:p>
    <w:p>
      <w:pPr>
        <w:pStyle w:val="ConsPlusNormal1"/>
        <w:widowControl/>
        <w:numPr>
          <w:ilvl w:val="0"/>
          <w:numId w:val="7"/>
        </w:numPr>
        <w:tabs>
          <w:tab w:val="clear" w:pos="708"/>
          <w:tab w:val="left" w:pos="993" w:leader="none"/>
        </w:tabs>
        <w:ind w:left="0" w:firstLine="709"/>
        <w:jc w:val="both"/>
        <w:rPr>
          <w:shd w:fill="FFFFFF" w:val="clear"/>
        </w:rPr>
      </w:pPr>
      <w:r>
        <w:rPr>
          <w:rFonts w:ascii="Times New Roman" w:hAnsi="Times New Roman"/>
          <w:color w:val="000000"/>
          <w:sz w:val="22"/>
          <w:shd w:fill="FFFFFF" w:val="clear"/>
        </w:rPr>
        <w:t xml:space="preserve">При наличии двух и более сметных расчетов составлять ССРСС в текущем уровне цен по форме Приложения </w:t>
      </w:r>
      <w:r>
        <w:rPr>
          <w:rFonts w:cs="Times New Roman" w:ascii="Times New Roman" w:hAnsi="Times New Roman"/>
          <w:color w:val="000000"/>
          <w:sz w:val="22"/>
          <w:szCs w:val="22"/>
          <w:shd w:fill="FFFFFF" w:val="clear"/>
        </w:rPr>
        <w:t xml:space="preserve">№ 1.1 к </w:t>
      </w:r>
      <w:r>
        <w:rPr>
          <w:rFonts w:ascii="Times New Roman" w:hAnsi="Times New Roman"/>
          <w:color w:val="000000"/>
          <w:sz w:val="22"/>
          <w:szCs w:val="22"/>
          <w:shd w:fill="FFFFFF" w:val="clear"/>
        </w:rPr>
        <w:t xml:space="preserve">Требованиям к оформлению и составлению </w:t>
      </w:r>
      <w:r>
        <w:rPr>
          <w:rFonts w:cs="Times New Roman" w:ascii="Times New Roman" w:hAnsi="Times New Roman"/>
          <w:color w:val="000000"/>
          <w:sz w:val="22"/>
          <w:szCs w:val="22"/>
          <w:shd w:fill="FFFFFF" w:val="clear"/>
        </w:rPr>
        <w:t>сметной документации на выполнение строительно-монтажных работ по программе ремонтов, реконструкции и техническому перевооружению по образцу.</w:t>
      </w:r>
    </w:p>
    <w:p>
      <w:pPr>
        <w:pStyle w:val="ConsPlusNormal1"/>
        <w:widowControl/>
        <w:numPr>
          <w:ilvl w:val="0"/>
          <w:numId w:val="7"/>
        </w:numPr>
        <w:tabs>
          <w:tab w:val="clear" w:pos="708"/>
          <w:tab w:val="left" w:pos="993" w:leader="none"/>
        </w:tabs>
        <w:ind w:left="0" w:firstLine="709"/>
        <w:jc w:val="both"/>
        <w:rPr>
          <w:shd w:fill="FFFFFF" w:val="clear"/>
        </w:rPr>
      </w:pPr>
      <w:r>
        <w:rPr>
          <w:rFonts w:ascii="Times New Roman" w:hAnsi="Times New Roman"/>
          <w:color w:val="000000"/>
          <w:sz w:val="22"/>
          <w:shd w:fill="FFFFFF" w:val="clear"/>
        </w:rPr>
        <w:t xml:space="preserve">В случае заключений дополнительных соглашений к договору (далее - д/с), ССРСС необходимо выполнять в накопительной форме с учетом </w:t>
      </w:r>
      <w:r>
        <w:rPr>
          <w:rFonts w:cs="Times New Roman" w:ascii="Times New Roman" w:hAnsi="Times New Roman"/>
          <w:color w:val="000000"/>
          <w:sz w:val="22"/>
          <w:szCs w:val="22"/>
          <w:shd w:fill="FFFFFF" w:val="clear"/>
        </w:rPr>
        <w:t>ЛСР (</w:t>
      </w:r>
      <w:r>
        <w:rPr>
          <w:rFonts w:ascii="Times New Roman" w:hAnsi="Times New Roman"/>
          <w:color w:val="000000"/>
          <w:sz w:val="22"/>
          <w:shd w:fill="FFFFFF" w:val="clear"/>
        </w:rPr>
        <w:t xml:space="preserve">ЛС) к основному договору и ко всем заключенным д/с к нему. В итогах ССРСС (справочно) указывать суммы изменения (уменьшения, увеличения) основного договора на основании заключения д/с, которые определяются как разница между суммой ССРСС очередного д/с и стоимостью основного договора. Форма ССРСС с учетом заключения д/с к договору приведена в Приложении </w:t>
      </w:r>
      <w:r>
        <w:rPr>
          <w:rFonts w:cs="Times New Roman" w:ascii="Times New Roman" w:hAnsi="Times New Roman"/>
          <w:color w:val="000000"/>
          <w:sz w:val="22"/>
          <w:szCs w:val="22"/>
          <w:shd w:fill="FFFFFF" w:val="clear"/>
        </w:rPr>
        <w:t xml:space="preserve">№ 1.2 к </w:t>
      </w:r>
      <w:r>
        <w:rPr>
          <w:rFonts w:ascii="Times New Roman" w:hAnsi="Times New Roman"/>
          <w:color w:val="000000"/>
          <w:sz w:val="22"/>
          <w:szCs w:val="22"/>
          <w:shd w:fill="FFFFFF" w:val="clear"/>
        </w:rPr>
        <w:t xml:space="preserve">Требованиям к оформлению и составлению </w:t>
      </w:r>
      <w:r>
        <w:rPr>
          <w:rFonts w:cs="Times New Roman" w:ascii="Times New Roman" w:hAnsi="Times New Roman"/>
          <w:color w:val="000000"/>
          <w:sz w:val="22"/>
          <w:szCs w:val="22"/>
          <w:shd w:fill="FFFFFF" w:val="clear"/>
        </w:rPr>
        <w:t xml:space="preserve">сметной документации на выполнение строительно-монтажных работ по программе ремонтов, реконструкции и техническому перевооружению. </w:t>
      </w:r>
    </w:p>
    <w:p>
      <w:pPr>
        <w:pStyle w:val="ConsPlusNormal1"/>
        <w:widowControl/>
        <w:numPr>
          <w:ilvl w:val="0"/>
          <w:numId w:val="7"/>
        </w:numPr>
        <w:tabs>
          <w:tab w:val="clear" w:pos="708"/>
          <w:tab w:val="left" w:pos="993" w:leader="none"/>
        </w:tabs>
        <w:ind w:left="0" w:firstLine="709"/>
        <w:jc w:val="both"/>
        <w:rPr>
          <w:shd w:fill="FFFFFF" w:val="clear"/>
        </w:rPr>
      </w:pPr>
      <w:r>
        <w:rPr>
          <w:rFonts w:ascii="Times New Roman" w:hAnsi="Times New Roman"/>
          <w:color w:val="000000"/>
          <w:sz w:val="22"/>
          <w:shd w:fill="FFFFFF" w:val="clear"/>
        </w:rPr>
        <w:t xml:space="preserve">ЛСР (ЛС) разрабатываются отдельно на исключаемые и дополнительные объемы работ. К сметной документации дополнительно прилагаются и являются ее неотъемлемой частью сопоставительные ведомости изменения сметной стоимости и сопоставительные ведомости изменения объемов работ, подготовленные в соответствии с Образцом по Приложениям №№ 1.3 и 1.4 </w:t>
      </w:r>
      <w:r>
        <w:rPr>
          <w:rFonts w:cs="Times New Roman" w:ascii="Times New Roman" w:hAnsi="Times New Roman"/>
          <w:color w:val="000000"/>
          <w:sz w:val="22"/>
          <w:szCs w:val="22"/>
          <w:shd w:fill="FFFFFF" w:val="clear"/>
        </w:rPr>
        <w:t xml:space="preserve">к Требованиям </w:t>
      </w:r>
      <w:r>
        <w:rPr>
          <w:rFonts w:ascii="Times New Roman" w:hAnsi="Times New Roman"/>
          <w:color w:val="000000"/>
          <w:sz w:val="22"/>
          <w:shd w:fill="FFFFFF" w:val="clear"/>
        </w:rPr>
        <w:t xml:space="preserve">к оформлению и составлению </w:t>
      </w:r>
      <w:r>
        <w:rPr>
          <w:rFonts w:cs="Times New Roman" w:ascii="Times New Roman" w:hAnsi="Times New Roman"/>
          <w:color w:val="000000"/>
          <w:sz w:val="22"/>
          <w:szCs w:val="22"/>
          <w:shd w:fill="FFFFFF" w:val="clear"/>
        </w:rPr>
        <w:t xml:space="preserve">сметной документации на выполнение строительно-монтажных работ по программе ремонтов, реконструкции и техническому перевооружению. </w:t>
      </w:r>
    </w:p>
    <w:p>
      <w:pPr>
        <w:pStyle w:val="ConsPlusNormal1"/>
        <w:widowControl/>
        <w:numPr>
          <w:ilvl w:val="0"/>
          <w:numId w:val="7"/>
        </w:numPr>
        <w:tabs>
          <w:tab w:val="clear" w:pos="708"/>
          <w:tab w:val="left" w:pos="993" w:leader="none"/>
        </w:tabs>
        <w:ind w:left="0" w:firstLine="709"/>
        <w:jc w:val="both"/>
        <w:rPr>
          <w:shd w:fill="FFFFFF" w:val="clear"/>
        </w:rPr>
      </w:pPr>
      <w:r>
        <w:rPr>
          <w:rFonts w:ascii="Times New Roman" w:hAnsi="Times New Roman"/>
          <w:color w:val="000000"/>
          <w:sz w:val="22"/>
          <w:shd w:fill="FFFFFF" w:val="clear"/>
        </w:rPr>
        <w:t>ЛС являются приложениями к ССРСС. Нумерация приложений указывается по мере включения ЛС в ССР в накопительной форме - по порядку.</w:t>
      </w:r>
    </w:p>
    <w:p>
      <w:pPr>
        <w:pStyle w:val="ConsPlusNormal1"/>
        <w:widowControl/>
        <w:numPr>
          <w:ilvl w:val="0"/>
          <w:numId w:val="7"/>
        </w:numPr>
        <w:tabs>
          <w:tab w:val="clear" w:pos="708"/>
          <w:tab w:val="left" w:pos="993" w:leader="none"/>
        </w:tabs>
        <w:ind w:left="0" w:firstLine="709"/>
        <w:jc w:val="both"/>
        <w:rPr>
          <w:shd w:fill="FFFFFF" w:val="clear"/>
        </w:rPr>
      </w:pPr>
      <w:r>
        <w:rPr>
          <w:rFonts w:ascii="Times New Roman" w:hAnsi="Times New Roman"/>
          <w:color w:val="000000"/>
          <w:sz w:val="22"/>
          <w:shd w:fill="FFFFFF" w:val="clear"/>
        </w:rPr>
        <w:t>Разнесение затрат (сумм ЛС) по графам и главам ССРСС осуществлять в соответствии с указаниями Методики определения сметной стоимости строительства.</w:t>
      </w:r>
    </w:p>
    <w:p>
      <w:pPr>
        <w:pStyle w:val="ConsPlusNormal1"/>
        <w:widowControl/>
        <w:numPr>
          <w:ilvl w:val="0"/>
          <w:numId w:val="7"/>
        </w:numPr>
        <w:tabs>
          <w:tab w:val="clear" w:pos="708"/>
          <w:tab w:val="left" w:pos="993" w:leader="none"/>
        </w:tabs>
        <w:ind w:left="0" w:firstLine="709"/>
        <w:jc w:val="both"/>
        <w:rPr>
          <w:shd w:fill="FFFFFF" w:val="clear"/>
        </w:rPr>
      </w:pPr>
      <w:r>
        <w:rPr>
          <w:rFonts w:ascii="Times New Roman" w:hAnsi="Times New Roman"/>
          <w:color w:val="000000"/>
          <w:sz w:val="22"/>
          <w:shd w:fill="FFFFFF" w:val="clear"/>
        </w:rPr>
        <w:t xml:space="preserve">В ССРСС, построчные и итоговые суммы </w:t>
      </w:r>
      <w:r>
        <w:rPr>
          <w:rFonts w:cs="Times New Roman" w:ascii="Times New Roman" w:hAnsi="Times New Roman"/>
          <w:color w:val="000000"/>
          <w:sz w:val="22"/>
          <w:szCs w:val="22"/>
          <w:shd w:fill="FFFFFF" w:val="clear"/>
        </w:rPr>
        <w:t xml:space="preserve">указывать </w:t>
      </w:r>
      <w:r>
        <w:rPr>
          <w:rFonts w:ascii="Times New Roman" w:hAnsi="Times New Roman"/>
          <w:color w:val="000000"/>
          <w:sz w:val="22"/>
          <w:shd w:fill="FFFFFF" w:val="clear"/>
        </w:rPr>
        <w:t>в рублях с округлением до двух знаков после запятой. Величину НДС не указывать.</w:t>
      </w:r>
    </w:p>
    <w:p>
      <w:pPr>
        <w:sectPr>
          <w:footnotePr>
            <w:numFmt w:val="decimal"/>
            <w:numRestart w:val="eachPage"/>
          </w:footnotePr>
          <w:type w:val="nextPage"/>
          <w:pgSz w:w="11906" w:h="16838"/>
          <w:pgMar w:left="1276" w:right="707" w:gutter="0" w:header="0" w:top="851" w:footer="0" w:bottom="426"/>
          <w:pgNumType w:fmt="decimal"/>
          <w:formProt w:val="false"/>
          <w:textDirection w:val="lrTb"/>
          <w:docGrid w:type="default" w:linePitch="360" w:charSpace="20480"/>
        </w:sectPr>
        <w:pStyle w:val="ConsPlusNormal1"/>
        <w:widowControl/>
        <w:numPr>
          <w:ilvl w:val="0"/>
          <w:numId w:val="7"/>
        </w:numPr>
        <w:tabs>
          <w:tab w:val="clear" w:pos="708"/>
          <w:tab w:val="left" w:pos="993" w:leader="none"/>
        </w:tabs>
        <w:ind w:left="0" w:firstLine="709"/>
        <w:jc w:val="both"/>
        <w:rPr>
          <w:shd w:fill="FFFFFF" w:val="clear"/>
        </w:rPr>
      </w:pPr>
      <w:r>
        <w:rPr>
          <w:rFonts w:ascii="Times New Roman" w:hAnsi="Times New Roman"/>
          <w:color w:val="000000"/>
          <w:sz w:val="22"/>
          <w:shd w:fill="FFFFFF" w:val="clear"/>
        </w:rPr>
        <w:t xml:space="preserve">В случае выполнения Подрядчиком полного комплекса пусконаладочных работ («вхолостую» и «под нагрузкой») сумму затрат на выполнение пусконаладочных работ «под нагрузкой» включать за итогом ССРСС. Таким образом, общая стоимость работ по договору (дополнительному соглашению) будет включать в себя все затраты Подрядчика в рамках конкретного договора, включая пусконаладочные работы «под нагрузкой» (для работ, выполняемых в рамках ТПиР). </w:t>
      </w:r>
    </w:p>
    <w:p>
      <w:pPr>
        <w:pStyle w:val="ConsPlusNormal1"/>
        <w:jc w:val="right"/>
        <w:rPr>
          <w:rFonts w:ascii="Times New Roman" w:hAnsi="Times New Roman"/>
          <w:shd w:fill="FFFFFF" w:val="clear"/>
        </w:rPr>
      </w:pPr>
      <w:r>
        <w:rPr>
          <w:rFonts w:ascii="Times New Roman" w:hAnsi="Times New Roman"/>
          <w:shd w:fill="FFFFFF" w:val="clear"/>
        </w:rPr>
      </w:r>
    </w:p>
    <w:p>
      <w:pPr>
        <w:pStyle w:val="ConsPlusNormal1"/>
        <w:jc w:val="center"/>
        <w:rPr>
          <w:shd w:fill="FFFFFF" w:val="clear"/>
        </w:rPr>
      </w:pPr>
      <w:r>
        <w:rPr>
          <w:rFonts w:ascii="Times New Roman" w:hAnsi="Times New Roman"/>
          <w:shd w:fill="FFFFFF" w:val="clear"/>
        </w:rPr>
        <w:t xml:space="preserve">                                                                                                  </w:t>
      </w:r>
    </w:p>
    <w:p>
      <w:pPr>
        <w:pStyle w:val="ConsPlusNormal1"/>
        <w:ind w:left="57" w:firstLine="720"/>
        <w:jc w:val="center"/>
        <w:rPr>
          <w:shd w:fill="FFFFFF" w:val="clear"/>
        </w:rPr>
      </w:pPr>
      <w:r>
        <w:rPr>
          <w:rFonts w:ascii="Times New Roman" w:hAnsi="Times New Roman"/>
          <w:shd w:fill="FFFFFF" w:val="clear"/>
        </w:rPr>
        <w:t xml:space="preserve">                                                                                                   </w:t>
      </w:r>
      <w:r>
        <w:rPr>
          <w:rFonts w:ascii="Times New Roman" w:hAnsi="Times New Roman"/>
          <w:shd w:fill="FFFFFF" w:val="clear"/>
        </w:rPr>
        <w:t>Приложение № 1.1</w:t>
      </w:r>
    </w:p>
    <w:p>
      <w:pPr>
        <w:pStyle w:val="ConsPlusNormal1"/>
        <w:ind w:left="57" w:firstLine="720"/>
        <w:rPr>
          <w:shd w:fill="FFFFFF" w:val="clear"/>
        </w:rPr>
      </w:pPr>
      <w:r>
        <w:rPr>
          <w:rFonts w:ascii="Times New Roman" w:hAnsi="Times New Roman"/>
          <w:b/>
          <w:sz w:val="22"/>
          <w:szCs w:val="22"/>
          <w:shd w:fill="FFFFFF" w:val="clear"/>
        </w:rPr>
        <w:t xml:space="preserve">ОБРАЗЕЦ </w:t>
      </w:r>
      <w:r>
        <w:rPr>
          <w:rFonts w:ascii="Times New Roman" w:hAnsi="Times New Roman"/>
          <w:shd w:fill="FFFFFF" w:val="clear"/>
        </w:rPr>
        <w:t xml:space="preserve">                                                                                            </w:t>
      </w:r>
    </w:p>
    <w:p>
      <w:pPr>
        <w:pStyle w:val="ConsPlusNormal1"/>
        <w:ind w:left="5811" w:hanging="0"/>
        <w:rPr>
          <w:shd w:fill="FFFFFF" w:val="clear"/>
        </w:rPr>
      </w:pPr>
      <w:r>
        <w:rPr>
          <w:rFonts w:ascii="Times New Roman" w:hAnsi="Times New Roman"/>
          <w:shd w:fill="FFFFFF" w:val="clear"/>
        </w:rPr>
        <w:t xml:space="preserve">к Требованиям к оформлению и составлению сметной документации на выполнение работ по программе ремонтов, реконструкции и техническому перевооружению </w:t>
      </w:r>
    </w:p>
    <w:p>
      <w:pPr>
        <w:pStyle w:val="ConsPlusNormal1"/>
        <w:ind w:left="5811" w:firstLine="720"/>
        <w:jc w:val="center"/>
        <w:rPr>
          <w:shd w:fill="FFFFFF" w:val="clear"/>
        </w:rPr>
      </w:pPr>
      <w:r>
        <w:rPr>
          <w:rFonts w:ascii="Times New Roman" w:hAnsi="Times New Roman"/>
          <w:shd w:fill="FFFFFF" w:val="clear"/>
        </w:rPr>
        <w:t xml:space="preserve">                                                                                                     </w:t>
      </w:r>
      <w:r>
        <w:rPr>
          <w:rFonts w:ascii="Times New Roman" w:hAnsi="Times New Roman"/>
          <w:shd w:fill="FFFFFF" w:val="clear"/>
        </w:rPr>
        <w:t xml:space="preserve">Приложение №___                                                                                    к договору от_______№_____ </w:t>
      </w:r>
      <w:r>
        <w:rPr>
          <w:rFonts w:ascii="Times New Roman" w:hAnsi="Times New Roman"/>
          <w:shd w:fill="FFFFFF" w:val="clear"/>
          <w:lang w:val="en-US"/>
        </w:rPr>
        <w:t xml:space="preserve"> </w:t>
      </w:r>
    </w:p>
    <w:p>
      <w:pPr>
        <w:pStyle w:val="ConsPlusNormal1"/>
        <w:jc w:val="right"/>
        <w:rPr>
          <w:shd w:fill="FFFFFF" w:val="clear"/>
        </w:rPr>
      </w:pPr>
      <w:r>
        <w:rPr>
          <w:rFonts w:ascii="Times New Roman" w:hAnsi="Times New Roman"/>
          <w:shd w:fill="FFFFFF" w:val="clear"/>
        </w:rPr>
        <w:t xml:space="preserve"> </w:t>
      </w:r>
    </w:p>
    <w:p>
      <w:pPr>
        <w:pStyle w:val="ConsPlusNormal1"/>
        <w:jc w:val="right"/>
        <w:rPr>
          <w:rFonts w:ascii="Times New Roman" w:hAnsi="Times New Roman"/>
          <w:shd w:fill="FFFFFF" w:val="clear"/>
        </w:rPr>
      </w:pPr>
      <w:r>
        <w:rPr>
          <w:rFonts w:ascii="Times New Roman" w:hAnsi="Times New Roman"/>
          <w:shd w:fill="FFFFFF" w:val="clear"/>
        </w:rPr>
      </w:r>
      <w:bookmarkStart w:id="2" w:name="P2528"/>
      <w:bookmarkStart w:id="3" w:name="P3258"/>
      <w:bookmarkStart w:id="4" w:name="P2506"/>
      <w:bookmarkStart w:id="5" w:name="P2522"/>
      <w:bookmarkStart w:id="6" w:name="P2523"/>
      <w:bookmarkStart w:id="7" w:name="P2524"/>
      <w:bookmarkStart w:id="8" w:name="P2525"/>
      <w:bookmarkStart w:id="9" w:name="P2526"/>
      <w:bookmarkStart w:id="10" w:name="P2527"/>
      <w:bookmarkStart w:id="11" w:name="P2529"/>
      <w:bookmarkStart w:id="12" w:name="P2530"/>
      <w:bookmarkStart w:id="13" w:name="P2531"/>
      <w:bookmarkStart w:id="14" w:name="P2546"/>
      <w:bookmarkStart w:id="15" w:name="P2566"/>
      <w:bookmarkStart w:id="16" w:name="P2616"/>
      <w:bookmarkStart w:id="17" w:name="P2736"/>
      <w:bookmarkStart w:id="18" w:name="P2746"/>
      <w:bookmarkStart w:id="19" w:name="P2945"/>
      <w:bookmarkStart w:id="20" w:name="P2528"/>
      <w:bookmarkStart w:id="21" w:name="P3258"/>
      <w:bookmarkStart w:id="22" w:name="P2506"/>
      <w:bookmarkStart w:id="23" w:name="P2522"/>
      <w:bookmarkStart w:id="24" w:name="P2523"/>
      <w:bookmarkStart w:id="25" w:name="P2524"/>
      <w:bookmarkStart w:id="26" w:name="P2525"/>
      <w:bookmarkStart w:id="27" w:name="P2526"/>
      <w:bookmarkStart w:id="28" w:name="P2527"/>
      <w:bookmarkStart w:id="29" w:name="P2529"/>
      <w:bookmarkStart w:id="30" w:name="P2530"/>
      <w:bookmarkStart w:id="31" w:name="P2531"/>
      <w:bookmarkStart w:id="32" w:name="P2546"/>
      <w:bookmarkStart w:id="33" w:name="P2566"/>
      <w:bookmarkStart w:id="34" w:name="P2616"/>
      <w:bookmarkStart w:id="35" w:name="P2736"/>
      <w:bookmarkStart w:id="36" w:name="P2746"/>
      <w:bookmarkStart w:id="37" w:name="P2945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tbl>
      <w:tblPr>
        <w:tblW w:w="10915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noVBand="0" w:noHBand="0" w:lastColumn="0" w:firstColumn="0" w:lastRow="0" w:firstRow="0"/>
      </w:tblPr>
      <w:tblGrid>
        <w:gridCol w:w="3464"/>
        <w:gridCol w:w="7450"/>
      </w:tblGrid>
      <w:tr>
        <w:trPr>
          <w:trHeight w:val="1158" w:hRule="atLeast"/>
        </w:trPr>
        <w:tc>
          <w:tcPr>
            <w:tcW w:w="3464" w:type="dxa"/>
            <w:tcBorders/>
            <w:shd w:color="auto" w:fill="auto" w:val="clear"/>
          </w:tcPr>
          <w:p>
            <w:pPr>
              <w:pStyle w:val="ConsPlusNormal1"/>
              <w:widowControl w:val="false"/>
              <w:ind w:left="283" w:hanging="0"/>
              <w:rPr>
                <w:shd w:fill="FFFFFF" w:val="clear"/>
              </w:rPr>
            </w:pPr>
            <w:r>
              <w:rPr>
                <w:rFonts w:cs="Times New Roman" w:ascii="Times New Roman" w:hAnsi="Times New Roman"/>
                <w:b/>
                <w:shd w:fill="FFFFFF" w:val="clear"/>
              </w:rPr>
              <w:t>СОГЛАСОВАНО</w:t>
            </w:r>
            <w:r>
              <w:rPr>
                <w:rFonts w:cs="Times New Roman" w:ascii="Times New Roman" w:hAnsi="Times New Roman"/>
                <w:shd w:fill="FFFFFF" w:val="clear"/>
              </w:rPr>
              <w:t xml:space="preserve">:                                           </w:t>
            </w:r>
          </w:p>
          <w:p>
            <w:pPr>
              <w:pStyle w:val="ConsPlusNormal1"/>
              <w:widowControl w:val="false"/>
              <w:ind w:right="-909" w:hanging="0"/>
              <w:rPr>
                <w:shd w:fill="FFFFFF" w:val="clear"/>
              </w:rPr>
            </w:pPr>
            <w:r>
              <w:rPr>
                <w:rFonts w:cs="Times New Roman" w:ascii="Times New Roman" w:hAnsi="Times New Roman"/>
                <w:shd w:fill="FFFFFF" w:val="clear"/>
              </w:rPr>
              <w:t xml:space="preserve">______________(Подрядчик )       </w:t>
            </w:r>
          </w:p>
          <w:p>
            <w:pPr>
              <w:pStyle w:val="ConsPlusNormal1"/>
              <w:widowControl w:val="false"/>
              <w:tabs>
                <w:tab w:val="clear" w:pos="708"/>
                <w:tab w:val="left" w:pos="0" w:leader="none"/>
              </w:tabs>
              <w:ind w:hanging="0"/>
              <w:rPr>
                <w:shd w:fill="FFFFFF" w:val="clear"/>
              </w:rPr>
            </w:pPr>
            <w:r>
              <w:rPr>
                <w:rFonts w:cs="Times New Roman" w:ascii="Times New Roman" w:hAnsi="Times New Roman"/>
                <w:shd w:fill="FFFFFF" w:val="clear"/>
              </w:rPr>
              <w:t>_______________(ФИО)</w:t>
            </w:r>
          </w:p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hd w:fill="FFFFFF" w:val="clear"/>
              </w:rPr>
            </w:pPr>
            <w:r>
              <w:rPr>
                <w:rFonts w:cs="Times New Roman" w:ascii="Times New Roman" w:hAnsi="Times New Roman"/>
                <w:shd w:fill="FFFFFF" w:val="clear"/>
              </w:rPr>
            </w:r>
          </w:p>
          <w:p>
            <w:pPr>
              <w:pStyle w:val="ConsPlusNormal1"/>
              <w:widowControl w:val="false"/>
              <w:ind w:left="142" w:hanging="142"/>
              <w:rPr>
                <w:shd w:fill="FFFFFF" w:val="clear"/>
              </w:rPr>
            </w:pPr>
            <w:r>
              <w:rPr>
                <w:rFonts w:cs="Times New Roman" w:ascii="Times New Roman" w:hAnsi="Times New Roman"/>
                <w:shd w:fill="FFFFFF" w:val="clear"/>
              </w:rPr>
              <w:t>Заказчик:______________________</w:t>
            </w:r>
          </w:p>
        </w:tc>
        <w:tc>
          <w:tcPr>
            <w:tcW w:w="7450" w:type="dxa"/>
            <w:tcBorders/>
            <w:shd w:color="auto" w:fill="auto" w:val="clear"/>
          </w:tcPr>
          <w:p>
            <w:pPr>
              <w:pStyle w:val="ConsPlusNormal1"/>
              <w:widowControl w:val="false"/>
              <w:ind w:right="-3855" w:firstLine="720"/>
              <w:jc w:val="center"/>
              <w:rPr>
                <w:shd w:fill="FFFFFF" w:val="clear"/>
              </w:rPr>
            </w:pPr>
            <w:r>
              <w:rPr>
                <w:rFonts w:cs="Times New Roman" w:ascii="Times New Roman" w:hAnsi="Times New Roman"/>
                <w:b/>
                <w:shd w:fill="FFFFFF" w:val="clear"/>
              </w:rPr>
              <w:t>УТВЕРЖДАЮ:</w:t>
            </w:r>
          </w:p>
          <w:p>
            <w:pPr>
              <w:pStyle w:val="ConsPlusNormal1"/>
              <w:widowControl w:val="false"/>
              <w:ind w:right="-909" w:hanging="0"/>
              <w:rPr>
                <w:shd w:fill="FFFFFF" w:val="clear"/>
              </w:rPr>
            </w:pPr>
            <w:r>
              <w:rPr>
                <w:rFonts w:cs="Times New Roman" w:ascii="Times New Roman" w:hAnsi="Times New Roman"/>
                <w:b/>
                <w:shd w:fill="FFFFFF" w:val="clear"/>
              </w:rPr>
              <w:t xml:space="preserve">                                                              </w:t>
            </w:r>
            <w:r>
              <w:rPr>
                <w:rFonts w:cs="Times New Roman" w:ascii="Times New Roman" w:hAnsi="Times New Roman"/>
                <w:b/>
                <w:sz w:val="22"/>
                <w:shd w:fill="FFFFFF" w:val="clear"/>
              </w:rPr>
              <w:t xml:space="preserve">                             </w:t>
            </w:r>
            <w:r>
              <w:rPr>
                <w:rFonts w:cs="Times New Roman" w:ascii="Times New Roman" w:hAnsi="Times New Roman"/>
                <w:sz w:val="22"/>
                <w:shd w:fill="FFFFFF" w:val="clear"/>
              </w:rPr>
              <w:t xml:space="preserve">_____________(Заказчик )       </w:t>
            </w:r>
          </w:p>
          <w:p>
            <w:pPr>
              <w:pStyle w:val="ConsPlusNormal1"/>
              <w:widowControl w:val="false"/>
              <w:ind w:left="2551" w:firstLine="720"/>
              <w:jc w:val="center"/>
              <w:rPr>
                <w:shd w:fill="FFFFFF" w:val="clear"/>
              </w:rPr>
            </w:pPr>
            <w:r>
              <w:rPr>
                <w:rFonts w:cs="Times New Roman" w:ascii="Times New Roman" w:hAnsi="Times New Roman"/>
                <w:sz w:val="22"/>
                <w:shd w:fill="FFFFFF" w:val="clear"/>
              </w:rPr>
              <w:t xml:space="preserve">                  </w:t>
            </w:r>
            <w:r>
              <w:rPr>
                <w:rFonts w:cs="Times New Roman" w:ascii="Times New Roman" w:hAnsi="Times New Roman"/>
                <w:sz w:val="22"/>
                <w:shd w:fill="FFFFFF" w:val="clear"/>
              </w:rPr>
              <w:t>______________(</w:t>
            </w:r>
            <w:r>
              <w:rPr>
                <w:rFonts w:cs="Times New Roman" w:ascii="Times New Roman" w:hAnsi="Times New Roman"/>
                <w:shd w:fill="FFFFFF" w:val="clear"/>
              </w:rPr>
              <w:t>ФИО)</w:t>
            </w:r>
          </w:p>
        </w:tc>
      </w:tr>
      <w:tr>
        <w:trPr/>
        <w:tc>
          <w:tcPr>
            <w:tcW w:w="3464" w:type="dxa"/>
            <w:tcBorders/>
            <w:shd w:color="auto" w:fill="auto" w:val="clear"/>
          </w:tcPr>
          <w:p>
            <w:pPr>
              <w:pStyle w:val="ConsPlusNormal1"/>
              <w:widowControl w:val="false"/>
              <w:jc w:val="center"/>
              <w:rPr>
                <w:shd w:fill="FFFFFF" w:val="clear"/>
              </w:rPr>
            </w:pPr>
            <w:r>
              <w:rPr>
                <w:rFonts w:cs="Times New Roman" w:ascii="Times New Roman" w:hAnsi="Times New Roman"/>
                <w:shd w:fill="FFFFFF" w:val="clear"/>
              </w:rPr>
              <w:t>(наименование организации)</w:t>
            </w:r>
          </w:p>
        </w:tc>
        <w:tc>
          <w:tcPr>
            <w:tcW w:w="7450" w:type="dxa"/>
            <w:tcBorders/>
            <w:shd w:color="auto" w:fill="auto" w:val="clear"/>
          </w:tcPr>
          <w:p>
            <w:pPr>
              <w:pStyle w:val="ConsPlusNormal1"/>
              <w:widowControl w:val="false"/>
              <w:ind w:hanging="0"/>
              <w:rPr>
                <w:rFonts w:ascii="Times New Roman" w:hAnsi="Times New Roman" w:cs="Times New Roman"/>
                <w:shd w:fill="FFFFFF" w:val="clear"/>
              </w:rPr>
            </w:pPr>
            <w:r>
              <w:rPr>
                <w:rFonts w:cs="Times New Roman" w:ascii="Times New Roman" w:hAnsi="Times New Roman"/>
                <w:shd w:fill="FFFFFF" w:val="clear"/>
              </w:rPr>
            </w:r>
          </w:p>
        </w:tc>
      </w:tr>
      <w:tr>
        <w:trPr/>
        <w:tc>
          <w:tcPr>
            <w:tcW w:w="10914" w:type="dxa"/>
            <w:gridSpan w:val="2"/>
            <w:tcBorders/>
            <w:shd w:color="auto" w:fill="auto" w:val="clear"/>
          </w:tcPr>
          <w:p>
            <w:pPr>
              <w:pStyle w:val="ConsPlusNormal1"/>
              <w:widowControl w:val="false"/>
              <w:ind w:hanging="0"/>
              <w:rPr>
                <w:shd w:fill="FFFFFF" w:val="clear"/>
              </w:rPr>
            </w:pPr>
            <w:r>
              <w:rPr>
                <w:rFonts w:cs="Times New Roman" w:ascii="Times New Roman" w:hAnsi="Times New Roman"/>
                <w:shd w:fill="FFFFFF" w:val="clear"/>
              </w:rPr>
              <w:t>Утвержден: __ ______________202__ г.</w:t>
            </w:r>
          </w:p>
        </w:tc>
      </w:tr>
    </w:tbl>
    <w:p>
      <w:pPr>
        <w:pStyle w:val="ConsPlusNormal1"/>
        <w:jc w:val="center"/>
        <w:rPr>
          <w:rFonts w:ascii="Times New Roman" w:hAnsi="Times New Roman"/>
          <w:shd w:fill="FFFFFF" w:val="clear"/>
        </w:rPr>
      </w:pPr>
      <w:r>
        <w:rPr>
          <w:rFonts w:ascii="Times New Roman" w:hAnsi="Times New Roman"/>
          <w:shd w:fill="FFFFFF" w:val="clear"/>
        </w:rPr>
      </w:r>
    </w:p>
    <w:tbl>
      <w:tblPr>
        <w:tblW w:w="10977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noVBand="0" w:noHBand="0" w:lastColumn="0" w:firstColumn="0" w:lastRow="0" w:firstRow="0"/>
      </w:tblPr>
      <w:tblGrid>
        <w:gridCol w:w="5215"/>
        <w:gridCol w:w="2664"/>
        <w:gridCol w:w="3098"/>
      </w:tblGrid>
      <w:tr>
        <w:trPr/>
        <w:tc>
          <w:tcPr>
            <w:tcW w:w="5215" w:type="dxa"/>
            <w:tcBorders/>
          </w:tcPr>
          <w:p>
            <w:pPr>
              <w:pStyle w:val="ConsPlusNormal1"/>
              <w:widowControl w:val="false"/>
              <w:ind w:hanging="0"/>
              <w:rPr>
                <w:shd w:fill="FFFFFF" w:val="clear"/>
              </w:rPr>
            </w:pPr>
            <w:r>
              <w:rPr>
                <w:rFonts w:cs="Times New Roman" w:ascii="Times New Roman" w:hAnsi="Times New Roman"/>
                <w:shd w:fill="FFFFFF" w:val="clear"/>
              </w:rPr>
              <w:t>Сводный сметный расчет сметной стоимостью</w:t>
            </w:r>
          </w:p>
        </w:tc>
        <w:tc>
          <w:tcPr>
            <w:tcW w:w="2664" w:type="dxa"/>
            <w:tcBorders>
              <w:bottom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hd w:fill="FFFFFF" w:val="clear"/>
              </w:rPr>
            </w:pPr>
            <w:r>
              <w:rPr>
                <w:rFonts w:cs="Times New Roman" w:ascii="Times New Roman" w:hAnsi="Times New Roman"/>
                <w:shd w:fill="FFFFFF" w:val="clear"/>
              </w:rPr>
            </w:r>
          </w:p>
        </w:tc>
        <w:tc>
          <w:tcPr>
            <w:tcW w:w="3098" w:type="dxa"/>
            <w:tcBorders/>
          </w:tcPr>
          <w:p>
            <w:pPr>
              <w:pStyle w:val="ConsPlusNormal1"/>
              <w:widowControl w:val="false"/>
              <w:ind w:hanging="0"/>
              <w:jc w:val="center"/>
              <w:rPr>
                <w:shd w:fill="FFFFFF" w:val="clear"/>
              </w:rPr>
            </w:pPr>
            <w:r>
              <w:rPr>
                <w:rFonts w:ascii="Times New Roman" w:hAnsi="Times New Roman"/>
                <w:shd w:fill="FFFFFF" w:val="clear"/>
              </w:rPr>
              <w:t>руб.</w:t>
            </w:r>
          </w:p>
        </w:tc>
      </w:tr>
      <w:tr>
        <w:trPr/>
        <w:tc>
          <w:tcPr>
            <w:tcW w:w="10977" w:type="dxa"/>
            <w:gridSpan w:val="3"/>
            <w:tcBorders>
              <w:bottom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hd w:fill="FFFFFF" w:val="clear"/>
              </w:rPr>
            </w:pPr>
            <w:r>
              <w:rPr>
                <w:rFonts w:cs="Times New Roman" w:ascii="Times New Roman" w:hAnsi="Times New Roman"/>
                <w:shd w:fill="FFFFFF" w:val="clear"/>
              </w:rPr>
            </w:r>
          </w:p>
        </w:tc>
      </w:tr>
      <w:tr>
        <w:trPr/>
        <w:tc>
          <w:tcPr>
            <w:tcW w:w="10977" w:type="dxa"/>
            <w:gridSpan w:val="3"/>
            <w:tcBorders>
              <w:top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shd w:fill="FFFFFF" w:val="clear"/>
              </w:rPr>
            </w:pPr>
            <w:r>
              <w:rPr>
                <w:rFonts w:cs="Times New Roman" w:ascii="Times New Roman" w:hAnsi="Times New Roman"/>
                <w:shd w:fill="FFFFFF" w:val="clear"/>
              </w:rPr>
              <w:t>(ссылка на документ об утверждении)</w:t>
            </w:r>
          </w:p>
        </w:tc>
      </w:tr>
      <w:tr>
        <w:trPr/>
        <w:tc>
          <w:tcPr>
            <w:tcW w:w="10977" w:type="dxa"/>
            <w:gridSpan w:val="3"/>
            <w:tcBorders/>
          </w:tcPr>
          <w:p>
            <w:pPr>
              <w:pStyle w:val="ConsPlusNormal1"/>
              <w:widowControl w:val="false"/>
              <w:jc w:val="center"/>
              <w:rPr>
                <w:shd w:fill="FFFFFF" w:val="clear"/>
              </w:rPr>
            </w:pPr>
            <w:r>
              <w:rPr>
                <w:rFonts w:cs="Times New Roman" w:ascii="Times New Roman" w:hAnsi="Times New Roman"/>
                <w:shd w:fill="FFFFFF" w:val="clear"/>
              </w:rPr>
              <w:t xml:space="preserve">СВОДНЫЙ СМЕТНЫЙ РАСЧЕТ </w:t>
            </w:r>
          </w:p>
          <w:p>
            <w:pPr>
              <w:pStyle w:val="ConsPlusNormal1"/>
              <w:widowControl w:val="false"/>
              <w:jc w:val="center"/>
              <w:rPr>
                <w:shd w:fill="FFFFFF" w:val="clear"/>
              </w:rPr>
            </w:pPr>
            <w:r>
              <w:rPr>
                <w:rFonts w:cs="Times New Roman" w:ascii="Times New Roman" w:hAnsi="Times New Roman"/>
                <w:shd w:fill="FFFFFF" w:val="clear"/>
              </w:rPr>
              <w:t>N ССРСС-________</w:t>
            </w:r>
          </w:p>
        </w:tc>
      </w:tr>
      <w:tr>
        <w:trPr>
          <w:trHeight w:val="22" w:hRule="atLeast"/>
        </w:trPr>
        <w:tc>
          <w:tcPr>
            <w:tcW w:w="10977" w:type="dxa"/>
            <w:gridSpan w:val="3"/>
            <w:tcBorders>
              <w:bottom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hd w:fill="FFFFFF" w:val="clear"/>
              </w:rPr>
            </w:pPr>
            <w:r>
              <w:rPr>
                <w:rFonts w:cs="Times New Roman" w:ascii="Times New Roman" w:hAnsi="Times New Roman"/>
                <w:shd w:fill="FFFFFF" w:val="clear"/>
              </w:rPr>
            </w:r>
          </w:p>
        </w:tc>
      </w:tr>
      <w:tr>
        <w:trPr/>
        <w:tc>
          <w:tcPr>
            <w:tcW w:w="10977" w:type="dxa"/>
            <w:gridSpan w:val="3"/>
            <w:tcBorders>
              <w:top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shd w:fill="FFFFFF" w:val="clear"/>
              </w:rPr>
            </w:pPr>
            <w:r>
              <w:rPr>
                <w:rFonts w:cs="Times New Roman" w:ascii="Times New Roman" w:hAnsi="Times New Roman"/>
                <w:shd w:fill="FFFFFF" w:val="clear"/>
              </w:rPr>
              <w:t>(наименование стройки)</w:t>
            </w:r>
          </w:p>
        </w:tc>
      </w:tr>
      <w:tr>
        <w:trPr/>
        <w:tc>
          <w:tcPr>
            <w:tcW w:w="10977" w:type="dxa"/>
            <w:gridSpan w:val="3"/>
            <w:tcBorders/>
          </w:tcPr>
          <w:p>
            <w:pPr>
              <w:pStyle w:val="ConsPlusNormal1"/>
              <w:widowControl w:val="false"/>
              <w:jc w:val="center"/>
              <w:rPr>
                <w:shd w:fill="FFFFFF" w:val="clear"/>
              </w:rPr>
            </w:pPr>
            <w:r>
              <w:rPr>
                <w:rFonts w:cs="Times New Roman" w:ascii="Times New Roman" w:hAnsi="Times New Roman"/>
                <w:shd w:fill="FFFFFF" w:val="clear"/>
              </w:rPr>
              <w:t>Составлен в текущих ценах, соответствующих периоду выполнения работ по Договору_________________ 20__ г.</w:t>
            </w:r>
          </w:p>
        </w:tc>
      </w:tr>
    </w:tbl>
    <w:p>
      <w:pPr>
        <w:pStyle w:val="ConsPlusNormal1"/>
        <w:jc w:val="center"/>
        <w:rPr>
          <w:shd w:fill="FFFFFF" w:val="clear"/>
        </w:rPr>
      </w:pPr>
      <w:r>
        <w:rPr>
          <w:shd w:fill="FFFFFF" w:val="clear"/>
        </w:rPr>
      </w:r>
    </w:p>
    <w:tbl>
      <w:tblPr>
        <w:tblW w:w="10982" w:type="dxa"/>
        <w:jc w:val="left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noVBand="0" w:noHBand="0" w:lastColumn="0" w:firstColumn="0" w:lastRow="0" w:firstRow="0"/>
      </w:tblPr>
      <w:tblGrid>
        <w:gridCol w:w="633"/>
        <w:gridCol w:w="997"/>
        <w:gridCol w:w="285"/>
        <w:gridCol w:w="1269"/>
        <w:gridCol w:w="366"/>
        <w:gridCol w:w="1344"/>
        <w:gridCol w:w="426"/>
        <w:gridCol w:w="1131"/>
        <w:gridCol w:w="1563"/>
        <w:gridCol w:w="1425"/>
        <w:gridCol w:w="1541"/>
      </w:tblGrid>
      <w:tr>
        <w:trPr>
          <w:trHeight w:val="212" w:hRule="atLeast"/>
        </w:trPr>
        <w:tc>
          <w:tcPr>
            <w:tcW w:w="6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shd w:fill="FFFFFF" w:val="clear"/>
              </w:rPr>
            </w:pPr>
            <w:r>
              <w:rPr>
                <w:rFonts w:cs="Times New Roman" w:ascii="Times New Roman" w:hAnsi="Times New Roman"/>
                <w:shd w:fill="FFFFFF" w:val="clear"/>
              </w:rPr>
              <w:t>Nп/п</w:t>
            </w:r>
          </w:p>
        </w:tc>
        <w:tc>
          <w:tcPr>
            <w:tcW w:w="9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shd w:fill="FFFFFF" w:val="clear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shd w:fill="FFFFFF" w:val="clear"/>
              </w:rPr>
              <w:t>Обоснование</w:t>
            </w:r>
          </w:p>
        </w:tc>
        <w:tc>
          <w:tcPr>
            <w:tcW w:w="155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60"/>
              <w:jc w:val="center"/>
              <w:rPr>
                <w:shd w:fill="FFFFFF" w:val="clear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shd w:fill="FFFFFF" w:val="clear"/>
              </w:rPr>
              <w:t>Наименование глав, объектов капитального строительства, работ и затрат</w:t>
            </w:r>
          </w:p>
        </w:tc>
        <w:tc>
          <w:tcPr>
            <w:tcW w:w="779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shd w:fill="FFFFFF" w:val="clear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shd w:fill="FFFFFF" w:val="clear"/>
              </w:rPr>
              <w:t>Сметная стоимость, руб.</w:t>
            </w:r>
          </w:p>
        </w:tc>
      </w:tr>
      <w:tr>
        <w:trPr>
          <w:trHeight w:val="1019" w:hRule="atLeast"/>
        </w:trPr>
        <w:tc>
          <w:tcPr>
            <w:tcW w:w="63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99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  <w:sz w:val="18"/>
                <w:szCs w:val="18"/>
                <w:shd w:fill="FFFFFF" w:val="clear"/>
              </w:rPr>
            </w:pPr>
            <w:r>
              <w:rPr>
                <w:rFonts w:ascii="Times New Roman" w:hAnsi="Times New Roman"/>
                <w:sz w:val="18"/>
                <w:szCs w:val="18"/>
                <w:shd w:fill="FFFFFF" w:val="clear"/>
              </w:rPr>
            </w:r>
          </w:p>
        </w:tc>
        <w:tc>
          <w:tcPr>
            <w:tcW w:w="1554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  <w:shd w:fill="FFFFFF" w:val="clear"/>
              </w:rPr>
            </w:pPr>
            <w:r>
              <w:rPr>
                <w:rFonts w:ascii="Times New Roman" w:hAnsi="Times New Roman"/>
                <w:sz w:val="18"/>
                <w:szCs w:val="18"/>
                <w:shd w:fill="FFFFFF" w:val="clear"/>
              </w:rPr>
            </w:r>
          </w:p>
        </w:tc>
        <w:tc>
          <w:tcPr>
            <w:tcW w:w="1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66"/>
              <w:jc w:val="center"/>
              <w:rPr>
                <w:shd w:fill="FFFFFF" w:val="clear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shd w:fill="FFFFFF" w:val="clear"/>
              </w:rPr>
              <w:t>строительных (ремонтно-строительных, ремонтно-реставрационных) работ</w:t>
            </w:r>
          </w:p>
        </w:tc>
        <w:tc>
          <w:tcPr>
            <w:tcW w:w="15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left="191" w:hanging="64"/>
              <w:jc w:val="center"/>
              <w:rPr>
                <w:shd w:fill="FFFFFF" w:val="clear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shd w:fill="FFFFFF" w:val="clear"/>
              </w:rPr>
              <w:t>монтажных работ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86"/>
              <w:jc w:val="center"/>
              <w:rPr>
                <w:shd w:fill="FFFFFF" w:val="clear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shd w:fill="FFFFFF" w:val="clear"/>
              </w:rPr>
              <w:t>оборудования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left="-113" w:hanging="0"/>
              <w:jc w:val="center"/>
              <w:rPr>
                <w:shd w:fill="FFFFFF" w:val="clear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shd w:fill="FFFFFF" w:val="clear"/>
              </w:rPr>
              <w:t>прочих затрат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shd w:fill="FFFFFF" w:val="clear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shd w:fill="FFFFFF" w:val="clear"/>
              </w:rPr>
              <w:t>всего</w:t>
            </w:r>
          </w:p>
        </w:tc>
      </w:tr>
      <w:tr>
        <w:trPr>
          <w:trHeight w:val="273" w:hRule="atLeast"/>
        </w:trPr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rPr>
                <w:shd w:fill="FFFFFF" w:val="clear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shd w:fill="FFFFFF" w:val="clear"/>
              </w:rPr>
              <w:t>11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  <w:shd w:fill="FFFFFF" w:val="clear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shd w:fill="FFFFFF" w:val="clear"/>
              </w:rPr>
            </w:r>
          </w:p>
          <w:p>
            <w:pPr>
              <w:pStyle w:val="ConsPlusNormal1"/>
              <w:widowControl w:val="false"/>
              <w:rPr>
                <w:shd w:fill="FFFFFF" w:val="clear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shd w:fill="FFFFFF" w:val="clear"/>
              </w:rPr>
              <w:t>2</w:t>
            </w:r>
          </w:p>
        </w:tc>
        <w:tc>
          <w:tcPr>
            <w:tcW w:w="1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  <w:shd w:fill="FFFFFF" w:val="clear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shd w:fill="FFFFFF" w:val="clear"/>
              </w:rPr>
            </w:r>
          </w:p>
          <w:p>
            <w:pPr>
              <w:pStyle w:val="ConsPlusNormal1"/>
              <w:widowControl w:val="false"/>
              <w:rPr>
                <w:shd w:fill="FFFFFF" w:val="clear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shd w:fill="FFFFFF" w:val="clear"/>
              </w:rPr>
              <w:t>3</w:t>
            </w:r>
          </w:p>
        </w:tc>
        <w:tc>
          <w:tcPr>
            <w:tcW w:w="1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  <w:shd w:fill="FFFFFF" w:val="clear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shd w:fill="FFFFFF" w:val="clear"/>
              </w:rPr>
            </w:r>
          </w:p>
          <w:p>
            <w:pPr>
              <w:pStyle w:val="ConsPlusNormal1"/>
              <w:widowControl w:val="false"/>
              <w:rPr>
                <w:shd w:fill="FFFFFF" w:val="clear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shd w:fill="FFFFFF" w:val="clear"/>
              </w:rPr>
              <w:t>4</w:t>
            </w:r>
          </w:p>
        </w:tc>
        <w:tc>
          <w:tcPr>
            <w:tcW w:w="15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  <w:shd w:fill="FFFFFF" w:val="clear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shd w:fill="FFFFFF" w:val="clear"/>
              </w:rPr>
            </w:r>
          </w:p>
          <w:p>
            <w:pPr>
              <w:pStyle w:val="ConsPlusNormal1"/>
              <w:widowControl w:val="false"/>
              <w:rPr>
                <w:shd w:fill="FFFFFF" w:val="clear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shd w:fill="FFFFFF" w:val="clear"/>
              </w:rPr>
              <w:t>5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  <w:shd w:fill="FFFFFF" w:val="clear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shd w:fill="FFFFFF" w:val="clear"/>
              </w:rPr>
            </w:r>
          </w:p>
          <w:p>
            <w:pPr>
              <w:pStyle w:val="ConsPlusNormal1"/>
              <w:widowControl w:val="false"/>
              <w:rPr>
                <w:shd w:fill="FFFFFF" w:val="clear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shd w:fill="FFFFFF" w:val="clear"/>
              </w:rPr>
              <w:t>6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  <w:shd w:fill="FFFFFF" w:val="clear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shd w:fill="FFFFFF" w:val="clear"/>
              </w:rPr>
            </w:r>
          </w:p>
          <w:p>
            <w:pPr>
              <w:pStyle w:val="ConsPlusNormal1"/>
              <w:widowControl w:val="false"/>
              <w:rPr>
                <w:shd w:fill="FFFFFF" w:val="clear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shd w:fill="FFFFFF" w:val="clear"/>
              </w:rPr>
              <w:t>7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  <w:shd w:fill="FFFFFF" w:val="clear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shd w:fill="FFFFFF" w:val="clear"/>
              </w:rPr>
            </w:r>
          </w:p>
          <w:p>
            <w:pPr>
              <w:pStyle w:val="ConsPlusNormal1"/>
              <w:widowControl w:val="false"/>
              <w:rPr>
                <w:shd w:fill="FFFFFF" w:val="clear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shd w:fill="FFFFFF" w:val="clear"/>
              </w:rPr>
              <w:t>8</w:t>
            </w:r>
          </w:p>
        </w:tc>
      </w:tr>
      <w:tr>
        <w:trPr/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hd w:fill="FFFFFF" w:val="clear"/>
              </w:rPr>
            </w:pPr>
            <w:r>
              <w:rPr>
                <w:rFonts w:cs="Times New Roman" w:ascii="Times New Roman" w:hAnsi="Times New Roman"/>
                <w:shd w:fill="FFFFFF" w:val="clear"/>
              </w:rPr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hd w:fill="FFFFFF" w:val="clear"/>
              </w:rPr>
            </w:pPr>
            <w:r>
              <w:rPr>
                <w:rFonts w:cs="Times New Roman" w:ascii="Times New Roman" w:hAnsi="Times New Roman"/>
                <w:shd w:fill="FFFFFF" w:val="clear"/>
              </w:rPr>
            </w:r>
          </w:p>
        </w:tc>
        <w:tc>
          <w:tcPr>
            <w:tcW w:w="1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hd w:fill="FFFFFF" w:val="clear"/>
              </w:rPr>
            </w:pPr>
            <w:r>
              <w:rPr>
                <w:rFonts w:cs="Times New Roman" w:ascii="Times New Roman" w:hAnsi="Times New Roman"/>
                <w:shd w:fill="FFFFFF" w:val="clear"/>
              </w:rPr>
            </w:r>
          </w:p>
        </w:tc>
        <w:tc>
          <w:tcPr>
            <w:tcW w:w="1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hd w:fill="FFFFFF" w:val="clear"/>
              </w:rPr>
            </w:pPr>
            <w:r>
              <w:rPr>
                <w:rFonts w:cs="Times New Roman" w:ascii="Times New Roman" w:hAnsi="Times New Roman"/>
                <w:shd w:fill="FFFFFF" w:val="clear"/>
              </w:rPr>
            </w:r>
          </w:p>
        </w:tc>
        <w:tc>
          <w:tcPr>
            <w:tcW w:w="15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hd w:fill="FFFFFF" w:val="clear"/>
              </w:rPr>
            </w:pPr>
            <w:r>
              <w:rPr>
                <w:rFonts w:cs="Times New Roman" w:ascii="Times New Roman" w:hAnsi="Times New Roman"/>
                <w:shd w:fill="FFFFFF" w:val="clear"/>
              </w:rPr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hd w:fill="FFFFFF" w:val="clear"/>
              </w:rPr>
            </w:pPr>
            <w:r>
              <w:rPr>
                <w:rFonts w:cs="Times New Roman" w:ascii="Times New Roman" w:hAnsi="Times New Roman"/>
                <w:shd w:fill="FFFFFF" w:val="clear"/>
              </w:rPr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hd w:fill="FFFFFF" w:val="clear"/>
              </w:rPr>
            </w:pPr>
            <w:r>
              <w:rPr>
                <w:rFonts w:cs="Times New Roman" w:ascii="Times New Roman" w:hAnsi="Times New Roman"/>
                <w:shd w:fill="FFFFFF" w:val="clear"/>
              </w:rPr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hd w:fill="FFFFFF" w:val="clear"/>
              </w:rPr>
            </w:pPr>
            <w:r>
              <w:rPr>
                <w:rFonts w:cs="Times New Roman" w:ascii="Times New Roman" w:hAnsi="Times New Roman"/>
                <w:shd w:fill="FFFFFF" w:val="clear"/>
              </w:rPr>
            </w:r>
          </w:p>
        </w:tc>
      </w:tr>
      <w:tr>
        <w:trPr/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hd w:fill="FFFFFF" w:val="clear"/>
              </w:rPr>
            </w:pPr>
            <w:r>
              <w:rPr>
                <w:rFonts w:cs="Times New Roman" w:ascii="Times New Roman" w:hAnsi="Times New Roman"/>
                <w:shd w:fill="FFFFFF" w:val="clear"/>
              </w:rPr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hd w:fill="FFFFFF" w:val="clear"/>
              </w:rPr>
            </w:pPr>
            <w:r>
              <w:rPr>
                <w:rFonts w:cs="Times New Roman" w:ascii="Times New Roman" w:hAnsi="Times New Roman"/>
                <w:shd w:fill="FFFFFF" w:val="clear"/>
              </w:rPr>
            </w:r>
          </w:p>
        </w:tc>
        <w:tc>
          <w:tcPr>
            <w:tcW w:w="1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hd w:fill="FFFFFF" w:val="clear"/>
              </w:rPr>
            </w:pPr>
            <w:r>
              <w:rPr>
                <w:rFonts w:cs="Times New Roman" w:ascii="Times New Roman" w:hAnsi="Times New Roman"/>
                <w:shd w:fill="FFFFFF" w:val="clear"/>
              </w:rPr>
            </w:r>
          </w:p>
        </w:tc>
        <w:tc>
          <w:tcPr>
            <w:tcW w:w="1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hd w:fill="FFFFFF" w:val="clear"/>
              </w:rPr>
            </w:pPr>
            <w:r>
              <w:rPr>
                <w:rFonts w:cs="Times New Roman" w:ascii="Times New Roman" w:hAnsi="Times New Roman"/>
                <w:shd w:fill="FFFFFF" w:val="clear"/>
              </w:rPr>
            </w:r>
          </w:p>
        </w:tc>
        <w:tc>
          <w:tcPr>
            <w:tcW w:w="15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hd w:fill="FFFFFF" w:val="clear"/>
              </w:rPr>
            </w:pPr>
            <w:r>
              <w:rPr>
                <w:rFonts w:cs="Times New Roman" w:ascii="Times New Roman" w:hAnsi="Times New Roman"/>
                <w:shd w:fill="FFFFFF" w:val="clear"/>
              </w:rPr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hd w:fill="FFFFFF" w:val="clear"/>
              </w:rPr>
            </w:pPr>
            <w:r>
              <w:rPr>
                <w:rFonts w:cs="Times New Roman" w:ascii="Times New Roman" w:hAnsi="Times New Roman"/>
                <w:shd w:fill="FFFFFF" w:val="clear"/>
              </w:rPr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hd w:fill="FFFFFF" w:val="clear"/>
              </w:rPr>
            </w:pPr>
            <w:r>
              <w:rPr>
                <w:rFonts w:cs="Times New Roman" w:ascii="Times New Roman" w:hAnsi="Times New Roman"/>
                <w:shd w:fill="FFFFFF" w:val="clear"/>
              </w:rPr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hd w:fill="FFFFFF" w:val="clear"/>
              </w:rPr>
            </w:pPr>
            <w:r>
              <w:rPr>
                <w:rFonts w:cs="Times New Roman" w:ascii="Times New Roman" w:hAnsi="Times New Roman"/>
                <w:shd w:fill="FFFFFF" w:val="clear"/>
              </w:rPr>
            </w:r>
          </w:p>
        </w:tc>
      </w:tr>
      <w:tr>
        <w:trPr>
          <w:trHeight w:val="327" w:hRule="atLeast"/>
        </w:trPr>
        <w:tc>
          <w:tcPr>
            <w:tcW w:w="35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tabs>
                <w:tab w:val="clear" w:pos="708"/>
                <w:tab w:val="left" w:pos="567" w:leader="none"/>
                <w:tab w:val="left" w:pos="2091" w:leader="none"/>
              </w:tabs>
              <w:ind w:left="170" w:hanging="425"/>
              <w:rPr>
                <w:shd w:fill="FFFFFF" w:val="clear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shd w:fill="FFFFFF" w:val="clear"/>
              </w:rPr>
              <w:t xml:space="preserve">     </w:t>
            </w:r>
            <w:r>
              <w:rPr>
                <w:rFonts w:cs="Times New Roman" w:ascii="Times New Roman" w:hAnsi="Times New Roman"/>
                <w:sz w:val="18"/>
                <w:szCs w:val="18"/>
                <w:shd w:fill="FFFFFF" w:val="clear"/>
              </w:rPr>
              <w:t>Руководитель</w:t>
            </w:r>
          </w:p>
          <w:p>
            <w:pPr>
              <w:pStyle w:val="ConsPlusNormal1"/>
              <w:widowControl w:val="false"/>
              <w:tabs>
                <w:tab w:val="clear" w:pos="708"/>
                <w:tab w:val="left" w:pos="851" w:leader="none"/>
              </w:tabs>
              <w:ind w:left="170" w:hanging="141"/>
              <w:rPr>
                <w:shd w:fill="FFFFFF" w:val="clear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shd w:fill="FFFFFF" w:val="clear"/>
              </w:rPr>
              <w:t>проектной организации</w:t>
            </w:r>
          </w:p>
        </w:tc>
        <w:tc>
          <w:tcPr>
            <w:tcW w:w="74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  <w:shd w:fill="FFFFFF" w:val="clear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shd w:fill="FFFFFF" w:val="clear"/>
              </w:rPr>
            </w:r>
          </w:p>
        </w:tc>
      </w:tr>
      <w:tr>
        <w:trPr/>
        <w:tc>
          <w:tcPr>
            <w:tcW w:w="35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  <w:shd w:fill="FFFFFF" w:val="clear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shd w:fill="FFFFFF" w:val="clear"/>
              </w:rPr>
            </w:r>
          </w:p>
        </w:tc>
        <w:tc>
          <w:tcPr>
            <w:tcW w:w="74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shd w:fill="FFFFFF" w:val="clear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shd w:fill="FFFFFF" w:val="clear"/>
              </w:rPr>
              <w:t>[подпись (инициалы, фамилия)]</w:t>
            </w:r>
          </w:p>
        </w:tc>
      </w:tr>
      <w:tr>
        <w:trPr/>
        <w:tc>
          <w:tcPr>
            <w:tcW w:w="35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rPr>
                <w:shd w:fill="FFFFFF" w:val="clear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shd w:fill="FFFFFF" w:val="clear"/>
              </w:rPr>
              <w:t>Главный инженер проекта</w:t>
            </w:r>
          </w:p>
        </w:tc>
        <w:tc>
          <w:tcPr>
            <w:tcW w:w="74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  <w:shd w:fill="FFFFFF" w:val="clear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shd w:fill="FFFFFF" w:val="clear"/>
              </w:rPr>
            </w:r>
          </w:p>
        </w:tc>
      </w:tr>
      <w:tr>
        <w:trPr/>
        <w:tc>
          <w:tcPr>
            <w:tcW w:w="19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left="-907" w:firstLine="1"/>
              <w:jc w:val="center"/>
              <w:rPr>
                <w:shd w:fill="FFFFFF" w:val="clear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shd w:fill="FFFFFF" w:val="clear"/>
              </w:rPr>
              <w:t>Начальник</w:t>
            </w:r>
          </w:p>
        </w:tc>
        <w:tc>
          <w:tcPr>
            <w:tcW w:w="1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  <w:shd w:fill="FFFFFF" w:val="clear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shd w:fill="FFFFFF" w:val="clear"/>
              </w:rPr>
            </w:r>
          </w:p>
        </w:tc>
        <w:tc>
          <w:tcPr>
            <w:tcW w:w="17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67"/>
              <w:jc w:val="center"/>
              <w:rPr>
                <w:shd w:fill="FFFFFF" w:val="clear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shd w:fill="FFFFFF" w:val="clear"/>
              </w:rPr>
              <w:t>отдела</w:t>
            </w:r>
          </w:p>
        </w:tc>
        <w:tc>
          <w:tcPr>
            <w:tcW w:w="56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  <w:shd w:fill="FFFFFF" w:val="clear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shd w:fill="FFFFFF" w:val="clear"/>
              </w:rPr>
            </w:r>
          </w:p>
        </w:tc>
      </w:tr>
      <w:tr>
        <w:trPr/>
        <w:tc>
          <w:tcPr>
            <w:tcW w:w="19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  <w:shd w:fill="FFFFFF" w:val="clear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shd w:fill="FFFFFF" w:val="clear"/>
              </w:rPr>
            </w:r>
          </w:p>
        </w:tc>
        <w:tc>
          <w:tcPr>
            <w:tcW w:w="1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198"/>
              <w:jc w:val="center"/>
              <w:rPr>
                <w:shd w:fill="FFFFFF" w:val="clear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shd w:fill="FFFFFF" w:val="clear"/>
              </w:rPr>
              <w:t>(наименование)</w:t>
            </w:r>
          </w:p>
        </w:tc>
        <w:tc>
          <w:tcPr>
            <w:tcW w:w="17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  <w:shd w:fill="FFFFFF" w:val="clear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shd w:fill="FFFFFF" w:val="clear"/>
              </w:rPr>
            </w:r>
          </w:p>
        </w:tc>
        <w:tc>
          <w:tcPr>
            <w:tcW w:w="56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rPr>
                <w:shd w:fill="FFFFFF" w:val="clear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shd w:fill="FFFFFF" w:val="clear"/>
              </w:rPr>
              <w:t>[подпись (инициалы, фамилия)]</w:t>
            </w:r>
          </w:p>
        </w:tc>
      </w:tr>
      <w:tr>
        <w:trPr/>
        <w:tc>
          <w:tcPr>
            <w:tcW w:w="19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left="284" w:firstLine="283"/>
              <w:rPr>
                <w:shd w:fill="FFFFFF" w:val="clear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shd w:fill="FFFFFF" w:val="clear"/>
              </w:rPr>
              <w:t>Заказчик</w:t>
            </w:r>
          </w:p>
        </w:tc>
        <w:tc>
          <w:tcPr>
            <w:tcW w:w="906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shd w:fill="FFFFFF" w:val="clear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shd w:fill="FFFFFF" w:val="clear"/>
              </w:rPr>
              <w:t>[подпись (инициалы, фамилия)]</w:t>
            </w:r>
          </w:p>
        </w:tc>
      </w:tr>
    </w:tbl>
    <w:p>
      <w:pPr>
        <w:pStyle w:val="Normal"/>
        <w:spacing w:lineRule="auto" w:line="240" w:before="0" w:after="0"/>
        <w:ind w:left="357" w:firstLine="720"/>
        <w:rPr>
          <w:rFonts w:ascii="Times New Roman" w:hAnsi="Times New Roman"/>
          <w:b/>
          <w:shd w:fill="FFFFFF" w:val="clear"/>
        </w:rPr>
      </w:pPr>
      <w:r>
        <w:rPr>
          <w:rFonts w:ascii="Times New Roman" w:hAnsi="Times New Roman"/>
          <w:b/>
          <w:shd w:fill="FFFFFF" w:val="clear"/>
        </w:rPr>
      </w:r>
    </w:p>
    <w:p>
      <w:pPr>
        <w:pStyle w:val="Normal"/>
        <w:spacing w:lineRule="auto" w:line="240" w:before="0" w:after="0"/>
        <w:ind w:left="357" w:firstLine="720"/>
        <w:rPr>
          <w:rFonts w:ascii="Times New Roman" w:hAnsi="Times New Roman"/>
          <w:b/>
          <w:shd w:fill="FFFFFF" w:val="clear"/>
        </w:rPr>
      </w:pPr>
      <w:r>
        <w:rPr>
          <w:rFonts w:ascii="Times New Roman" w:hAnsi="Times New Roman"/>
          <w:b/>
          <w:shd w:fill="FFFFFF" w:val="clear"/>
        </w:rPr>
      </w:r>
    </w:p>
    <w:p>
      <w:pPr>
        <w:pStyle w:val="Normal"/>
        <w:spacing w:lineRule="auto" w:line="240" w:before="0" w:after="0"/>
        <w:ind w:left="397" w:firstLine="720"/>
        <w:rPr>
          <w:shd w:fill="FFFFFF" w:val="clear"/>
        </w:rPr>
      </w:pPr>
      <w:r>
        <w:rPr>
          <w:rFonts w:ascii="Times New Roman" w:hAnsi="Times New Roman"/>
          <w:b/>
          <w:shd w:fill="FFFFFF" w:val="clear"/>
        </w:rPr>
        <w:t>ОБРАЗЕЦ</w:t>
      </w:r>
      <w:r>
        <w:rPr>
          <w:rFonts w:ascii="Times New Roman" w:hAnsi="Times New Roman"/>
          <w:shd w:fill="FFFFFF" w:val="clear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>
      <w:pPr>
        <w:pStyle w:val="Normal"/>
        <w:spacing w:lineRule="auto" w:line="240" w:before="0" w:after="0"/>
        <w:ind w:left="8646" w:firstLine="720"/>
        <w:rPr>
          <w:shd w:fill="FFFFFF" w:val="clear"/>
        </w:rPr>
      </w:pPr>
      <w:r>
        <w:rPr>
          <w:rFonts w:ascii="Times New Roman" w:hAnsi="Times New Roman"/>
          <w:shd w:fill="FFFFFF" w:val="clear"/>
        </w:rPr>
        <w:t xml:space="preserve"> </w:t>
      </w:r>
      <w:r>
        <w:rPr>
          <w:rFonts w:ascii="Times New Roman" w:hAnsi="Times New Roman"/>
          <w:sz w:val="20"/>
          <w:szCs w:val="20"/>
          <w:shd w:fill="FFFFFF" w:val="clear"/>
        </w:rPr>
        <w:t xml:space="preserve">Приложение №1.2 </w:t>
      </w:r>
    </w:p>
    <w:p>
      <w:pPr>
        <w:pStyle w:val="ConsPlusNormal1"/>
        <w:ind w:left="5811" w:firstLine="720"/>
        <w:jc w:val="right"/>
        <w:rPr>
          <w:shd w:fill="FFFFFF" w:val="clear"/>
        </w:rPr>
      </w:pPr>
      <w:r>
        <w:rPr>
          <w:rFonts w:ascii="Times New Roman" w:hAnsi="Times New Roman"/>
          <w:shd w:fill="FFFFFF" w:val="clear"/>
        </w:rPr>
        <w:t xml:space="preserve">к Требованиям к оформлению и составлению               </w:t>
      </w:r>
    </w:p>
    <w:p>
      <w:pPr>
        <w:pStyle w:val="ConsPlusNormal1"/>
        <w:ind w:left="5811" w:firstLine="720"/>
        <w:jc w:val="right"/>
        <w:rPr>
          <w:shd w:fill="FFFFFF" w:val="clear"/>
        </w:rPr>
      </w:pPr>
      <w:r>
        <w:rPr>
          <w:rFonts w:ascii="Times New Roman" w:hAnsi="Times New Roman"/>
          <w:shd w:fill="FFFFFF" w:val="clear"/>
        </w:rPr>
        <w:t xml:space="preserve">сметной документации на выполнение работ </w:t>
      </w:r>
    </w:p>
    <w:p>
      <w:pPr>
        <w:pStyle w:val="ConsPlusNormal1"/>
        <w:ind w:left="5811" w:firstLine="720"/>
        <w:jc w:val="center"/>
        <w:rPr>
          <w:shd w:fill="FFFFFF" w:val="clear"/>
        </w:rPr>
      </w:pPr>
      <w:r>
        <w:rPr>
          <w:rFonts w:ascii="Times New Roman" w:hAnsi="Times New Roman"/>
          <w:shd w:fill="FFFFFF" w:val="clear"/>
        </w:rPr>
        <w:t xml:space="preserve"> </w:t>
      </w:r>
      <w:r>
        <w:rPr>
          <w:rFonts w:ascii="Times New Roman" w:hAnsi="Times New Roman"/>
          <w:shd w:fill="FFFFFF" w:val="clear"/>
        </w:rPr>
        <w:t>по программе</w:t>
      </w:r>
    </w:p>
    <w:p>
      <w:pPr>
        <w:pStyle w:val="ConsPlusNormal1"/>
        <w:ind w:left="5811" w:firstLine="720"/>
        <w:jc w:val="center"/>
        <w:rPr>
          <w:shd w:fill="FFFFFF" w:val="clear"/>
        </w:rPr>
      </w:pPr>
      <w:r>
        <w:rPr>
          <w:rFonts w:ascii="Times New Roman" w:hAnsi="Times New Roman"/>
          <w:shd w:fill="FFFFFF" w:val="clear"/>
        </w:rPr>
        <w:t>ремонтов, реконструкции и</w:t>
      </w:r>
    </w:p>
    <w:p>
      <w:pPr>
        <w:pStyle w:val="ConsPlusNormal1"/>
        <w:ind w:left="5811" w:firstLine="720"/>
        <w:jc w:val="center"/>
        <w:rPr>
          <w:shd w:fill="FFFFFF" w:val="clear"/>
        </w:rPr>
      </w:pPr>
      <w:r>
        <w:rPr>
          <w:rFonts w:ascii="Times New Roman" w:hAnsi="Times New Roman"/>
          <w:shd w:fill="FFFFFF" w:val="clear"/>
        </w:rPr>
        <w:t>техническому перевооружению</w:t>
      </w:r>
    </w:p>
    <w:p>
      <w:pPr>
        <w:pStyle w:val="ConsPlusNormal1"/>
        <w:ind w:left="5811" w:firstLine="720"/>
        <w:rPr>
          <w:rFonts w:ascii="Times New Roman" w:hAnsi="Times New Roman"/>
          <w:shd w:fill="FFFFFF" w:val="clear"/>
        </w:rPr>
      </w:pPr>
      <w:r>
        <w:rPr>
          <w:rFonts w:ascii="Times New Roman" w:hAnsi="Times New Roman"/>
          <w:shd w:fill="FFFFFF" w:val="clear"/>
        </w:rPr>
      </w:r>
    </w:p>
    <w:p>
      <w:pPr>
        <w:pStyle w:val="ConsPlusNormal1"/>
        <w:jc w:val="right"/>
        <w:rPr>
          <w:rFonts w:ascii="Times New Roman" w:hAnsi="Times New Roman"/>
          <w:shd w:fill="FFFFFF" w:val="clear"/>
        </w:rPr>
      </w:pPr>
      <w:r>
        <w:rPr>
          <w:rFonts w:ascii="Times New Roman" w:hAnsi="Times New Roman"/>
          <w:shd w:fill="FFFFFF" w:val="clear"/>
        </w:rPr>
      </w:r>
    </w:p>
    <w:p>
      <w:pPr>
        <w:pStyle w:val="ConsPlusNormal1"/>
        <w:tabs>
          <w:tab w:val="clear" w:pos="708"/>
          <w:tab w:val="left" w:pos="6804" w:leader="none"/>
        </w:tabs>
        <w:ind w:left="5811" w:firstLine="720"/>
        <w:jc w:val="center"/>
        <w:rPr>
          <w:shd w:fill="FFFFFF" w:val="clear"/>
        </w:rPr>
      </w:pPr>
      <w:r>
        <w:rPr>
          <w:rFonts w:ascii="Times New Roman" w:hAnsi="Times New Roman"/>
          <w:shd w:fill="FFFFFF" w:val="clear"/>
        </w:rPr>
        <w:t xml:space="preserve">                       </w:t>
      </w:r>
      <w:r>
        <w:rPr>
          <w:rFonts w:ascii="Times New Roman" w:hAnsi="Times New Roman"/>
          <w:shd w:fill="FFFFFF" w:val="clear"/>
        </w:rPr>
        <w:t>Приложение №___</w:t>
      </w:r>
    </w:p>
    <w:p>
      <w:pPr>
        <w:pStyle w:val="ConsPlusNormal1"/>
        <w:tabs>
          <w:tab w:val="clear" w:pos="708"/>
          <w:tab w:val="left" w:pos="6946" w:leader="none"/>
        </w:tabs>
        <w:ind w:left="5811" w:firstLine="720"/>
        <w:jc w:val="right"/>
        <w:rPr>
          <w:shd w:fill="FFFFFF" w:val="clear"/>
        </w:rPr>
      </w:pPr>
      <w:r>
        <w:rPr>
          <w:rFonts w:ascii="Times New Roman" w:hAnsi="Times New Roman"/>
          <w:shd w:fill="FFFFFF" w:val="clear"/>
        </w:rPr>
        <w:t xml:space="preserve">                         </w:t>
      </w:r>
      <w:r>
        <w:rPr>
          <w:rFonts w:ascii="Times New Roman" w:hAnsi="Times New Roman"/>
          <w:shd w:fill="FFFFFF" w:val="clear"/>
        </w:rPr>
        <w:t>к дополнительному соглашению от ___ № ___</w:t>
      </w:r>
    </w:p>
    <w:p>
      <w:pPr>
        <w:pStyle w:val="ConsPlusNormal1"/>
        <w:ind w:left="5811" w:firstLine="720"/>
        <w:rPr>
          <w:shd w:fill="FFFFFF" w:val="clear"/>
        </w:rPr>
      </w:pPr>
      <w:r>
        <w:rPr>
          <w:rFonts w:ascii="Times New Roman" w:hAnsi="Times New Roman"/>
          <w:shd w:fill="FFFFFF" w:val="clear"/>
        </w:rPr>
        <w:t xml:space="preserve">                                                                                                                             </w:t>
      </w:r>
      <w:r>
        <w:rPr>
          <w:rFonts w:ascii="Times New Roman" w:hAnsi="Times New Roman"/>
          <w:shd w:fill="FFFFFF" w:val="clear"/>
        </w:rPr>
        <w:t xml:space="preserve">к договору от________№_____ </w:t>
      </w:r>
    </w:p>
    <w:tbl>
      <w:tblPr>
        <w:tblW w:w="10915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noVBand="0" w:noHBand="0" w:lastColumn="0" w:firstColumn="0" w:lastRow="0" w:firstRow="0"/>
      </w:tblPr>
      <w:tblGrid>
        <w:gridCol w:w="1222"/>
        <w:gridCol w:w="9692"/>
      </w:tblGrid>
      <w:tr>
        <w:trPr/>
        <w:tc>
          <w:tcPr>
            <w:tcW w:w="1222" w:type="dxa"/>
            <w:tcBorders/>
          </w:tcPr>
          <w:p>
            <w:pPr>
              <w:pStyle w:val="ConsPlusNormal1"/>
              <w:widowControl w:val="false"/>
              <w:ind w:hanging="0"/>
              <w:jc w:val="center"/>
              <w:rPr>
                <w:shd w:fill="FFFFFF" w:val="clear"/>
              </w:rPr>
            </w:pPr>
            <w:r>
              <w:rPr>
                <w:rFonts w:cs="Times New Roman" w:ascii="Times New Roman" w:hAnsi="Times New Roman"/>
                <w:shd w:fill="FFFFFF" w:val="clear"/>
              </w:rPr>
              <w:t xml:space="preserve">                                 </w:t>
            </w:r>
            <w:r>
              <w:rPr>
                <w:rFonts w:cs="Times New Roman" w:ascii="Times New Roman" w:hAnsi="Times New Roman"/>
                <w:shd w:fill="FFFFFF" w:val="clear"/>
              </w:rPr>
              <w:t>Заказчик</w:t>
            </w:r>
          </w:p>
        </w:tc>
        <w:tc>
          <w:tcPr>
            <w:tcW w:w="9692" w:type="dxa"/>
            <w:tcBorders>
              <w:bottom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hd w:fill="FFFFFF" w:val="clear"/>
              </w:rPr>
            </w:pPr>
            <w:r>
              <w:rPr>
                <w:rFonts w:cs="Times New Roman" w:ascii="Times New Roman" w:hAnsi="Times New Roman"/>
                <w:shd w:fill="FFFFFF" w:val="clear"/>
              </w:rPr>
            </w:r>
          </w:p>
        </w:tc>
      </w:tr>
      <w:tr>
        <w:trPr/>
        <w:tc>
          <w:tcPr>
            <w:tcW w:w="1222" w:type="dxa"/>
            <w:tcBorders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hd w:fill="FFFFFF" w:val="clear"/>
              </w:rPr>
            </w:pPr>
            <w:r>
              <w:rPr>
                <w:rFonts w:cs="Times New Roman" w:ascii="Times New Roman" w:hAnsi="Times New Roman"/>
                <w:shd w:fill="FFFFFF" w:val="clear"/>
              </w:rPr>
            </w:r>
          </w:p>
        </w:tc>
        <w:tc>
          <w:tcPr>
            <w:tcW w:w="9692" w:type="dxa"/>
            <w:tcBorders>
              <w:top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shd w:fill="FFFFFF" w:val="clear"/>
              </w:rPr>
            </w:pPr>
            <w:r>
              <w:rPr>
                <w:rFonts w:cs="Times New Roman" w:ascii="Times New Roman" w:hAnsi="Times New Roman"/>
                <w:shd w:fill="FFFFFF" w:val="clear"/>
              </w:rPr>
              <w:t>(наименование организации)</w:t>
            </w:r>
          </w:p>
        </w:tc>
      </w:tr>
      <w:tr>
        <w:trPr/>
        <w:tc>
          <w:tcPr>
            <w:tcW w:w="10914" w:type="dxa"/>
            <w:gridSpan w:val="2"/>
            <w:tcBorders/>
          </w:tcPr>
          <w:p>
            <w:pPr>
              <w:pStyle w:val="ConsPlusNormal1"/>
              <w:widowControl w:val="false"/>
              <w:ind w:hanging="0"/>
              <w:rPr>
                <w:shd w:fill="FFFFFF" w:val="clear"/>
              </w:rPr>
            </w:pPr>
            <w:r>
              <w:rPr>
                <w:rFonts w:cs="Times New Roman" w:ascii="Times New Roman" w:hAnsi="Times New Roman"/>
                <w:shd w:fill="FFFFFF" w:val="clear"/>
              </w:rPr>
              <w:t>Утвержден __ ______________ 20__ г.</w:t>
            </w:r>
          </w:p>
        </w:tc>
      </w:tr>
    </w:tbl>
    <w:p>
      <w:pPr>
        <w:pStyle w:val="ConsPlusNormal1"/>
        <w:jc w:val="center"/>
        <w:rPr>
          <w:rFonts w:ascii="Times New Roman" w:hAnsi="Times New Roman" w:cs="Times New Roman"/>
          <w:shd w:fill="FFFFFF" w:val="clear"/>
        </w:rPr>
      </w:pPr>
      <w:r>
        <w:rPr>
          <w:rFonts w:cs="Times New Roman" w:ascii="Times New Roman" w:hAnsi="Times New Roman"/>
          <w:shd w:fill="FFFFFF" w:val="clear"/>
        </w:rPr>
      </w:r>
    </w:p>
    <w:tbl>
      <w:tblPr>
        <w:tblW w:w="10977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noVBand="0" w:noHBand="0" w:lastColumn="0" w:firstColumn="0" w:lastRow="0" w:firstRow="0"/>
      </w:tblPr>
      <w:tblGrid>
        <w:gridCol w:w="5215"/>
        <w:gridCol w:w="2664"/>
        <w:gridCol w:w="3098"/>
      </w:tblGrid>
      <w:tr>
        <w:trPr/>
        <w:tc>
          <w:tcPr>
            <w:tcW w:w="5215" w:type="dxa"/>
            <w:tcBorders/>
          </w:tcPr>
          <w:p>
            <w:pPr>
              <w:pStyle w:val="ConsPlusNormal1"/>
              <w:widowControl w:val="false"/>
              <w:ind w:hanging="0"/>
              <w:rPr>
                <w:shd w:fill="FFFFFF" w:val="clear"/>
              </w:rPr>
            </w:pPr>
            <w:r>
              <w:rPr>
                <w:rFonts w:cs="Times New Roman" w:ascii="Times New Roman" w:hAnsi="Times New Roman"/>
                <w:shd w:fill="FFFFFF" w:val="clear"/>
              </w:rPr>
              <w:t>Сводный сметный расчет сметной стоимостью</w:t>
            </w:r>
          </w:p>
        </w:tc>
        <w:tc>
          <w:tcPr>
            <w:tcW w:w="2664" w:type="dxa"/>
            <w:tcBorders>
              <w:bottom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hd w:fill="FFFFFF" w:val="clear"/>
              </w:rPr>
            </w:pPr>
            <w:r>
              <w:rPr>
                <w:rFonts w:cs="Times New Roman" w:ascii="Times New Roman" w:hAnsi="Times New Roman"/>
                <w:shd w:fill="FFFFFF" w:val="clear"/>
              </w:rPr>
            </w:r>
          </w:p>
        </w:tc>
        <w:tc>
          <w:tcPr>
            <w:tcW w:w="3098" w:type="dxa"/>
            <w:tcBorders/>
          </w:tcPr>
          <w:p>
            <w:pPr>
              <w:pStyle w:val="ConsPlusNormal1"/>
              <w:widowControl w:val="false"/>
              <w:ind w:hanging="0"/>
              <w:jc w:val="center"/>
              <w:rPr>
                <w:shd w:fill="FFFFFF" w:val="clear"/>
              </w:rPr>
            </w:pPr>
            <w:r>
              <w:rPr>
                <w:rFonts w:cs="Times New Roman" w:ascii="Times New Roman" w:hAnsi="Times New Roman"/>
                <w:shd w:fill="FFFFFF" w:val="clear"/>
              </w:rPr>
              <w:t>руб.</w:t>
            </w:r>
          </w:p>
        </w:tc>
      </w:tr>
      <w:tr>
        <w:trPr/>
        <w:tc>
          <w:tcPr>
            <w:tcW w:w="10977" w:type="dxa"/>
            <w:gridSpan w:val="3"/>
            <w:tcBorders>
              <w:bottom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hd w:fill="FFFFFF" w:val="clear"/>
              </w:rPr>
            </w:pPr>
            <w:r>
              <w:rPr>
                <w:rFonts w:cs="Times New Roman" w:ascii="Times New Roman" w:hAnsi="Times New Roman"/>
                <w:shd w:fill="FFFFFF" w:val="clear"/>
              </w:rPr>
            </w:r>
          </w:p>
        </w:tc>
      </w:tr>
      <w:tr>
        <w:trPr/>
        <w:tc>
          <w:tcPr>
            <w:tcW w:w="10977" w:type="dxa"/>
            <w:gridSpan w:val="3"/>
            <w:tcBorders>
              <w:top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shd w:fill="FFFFFF" w:val="clear"/>
              </w:rPr>
            </w:pPr>
            <w:r>
              <w:rPr>
                <w:rFonts w:cs="Times New Roman" w:ascii="Times New Roman" w:hAnsi="Times New Roman"/>
                <w:shd w:fill="FFFFFF" w:val="clear"/>
              </w:rPr>
              <w:t>(ссылка на документ об утверждении)</w:t>
            </w:r>
          </w:p>
        </w:tc>
      </w:tr>
    </w:tbl>
    <w:p>
      <w:pPr>
        <w:pStyle w:val="ConsPlusNormal1"/>
        <w:jc w:val="center"/>
        <w:rPr>
          <w:rFonts w:ascii="Times New Roman" w:hAnsi="Times New Roman" w:cs="Times New Roman"/>
          <w:shd w:fill="FFFFFF" w:val="clear"/>
        </w:rPr>
      </w:pPr>
      <w:r>
        <w:rPr>
          <w:rFonts w:cs="Times New Roman" w:ascii="Times New Roman" w:hAnsi="Times New Roman"/>
          <w:shd w:fill="FFFFFF" w:val="clear"/>
        </w:rPr>
      </w:r>
    </w:p>
    <w:tbl>
      <w:tblPr>
        <w:tblW w:w="10977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noVBand="0" w:noHBand="0" w:lastColumn="0" w:firstColumn="0" w:lastRow="0" w:firstRow="0"/>
      </w:tblPr>
      <w:tblGrid>
        <w:gridCol w:w="10977"/>
      </w:tblGrid>
      <w:tr>
        <w:trPr/>
        <w:tc>
          <w:tcPr>
            <w:tcW w:w="10977" w:type="dxa"/>
            <w:tcBorders/>
          </w:tcPr>
          <w:p>
            <w:pPr>
              <w:pStyle w:val="ConsPlusNormal1"/>
              <w:widowControl w:val="false"/>
              <w:jc w:val="center"/>
              <w:rPr>
                <w:shd w:fill="FFFFFF" w:val="clear"/>
              </w:rPr>
            </w:pPr>
            <w:r>
              <w:rPr>
                <w:rFonts w:cs="Times New Roman" w:ascii="Times New Roman" w:hAnsi="Times New Roman"/>
                <w:shd w:fill="FFFFFF" w:val="clear"/>
              </w:rPr>
              <w:t xml:space="preserve">СВОДНЫЙ СМЕТНЫЙ РАСЧЕТ </w:t>
            </w:r>
          </w:p>
          <w:p>
            <w:pPr>
              <w:pStyle w:val="ConsPlusNormal1"/>
              <w:widowControl w:val="false"/>
              <w:jc w:val="center"/>
              <w:rPr>
                <w:shd w:fill="FFFFFF" w:val="clear"/>
              </w:rPr>
            </w:pPr>
            <w:r>
              <w:rPr>
                <w:rFonts w:cs="Times New Roman" w:ascii="Times New Roman" w:hAnsi="Times New Roman"/>
                <w:shd w:fill="FFFFFF" w:val="clear"/>
              </w:rPr>
              <w:t>N ССРСС-________</w:t>
            </w:r>
          </w:p>
        </w:tc>
      </w:tr>
      <w:tr>
        <w:trPr/>
        <w:tc>
          <w:tcPr>
            <w:tcW w:w="10977" w:type="dxa"/>
            <w:tcBorders>
              <w:bottom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hd w:fill="FFFFFF" w:val="clear"/>
              </w:rPr>
            </w:pPr>
            <w:r>
              <w:rPr>
                <w:rFonts w:cs="Times New Roman" w:ascii="Times New Roman" w:hAnsi="Times New Roman"/>
                <w:shd w:fill="FFFFFF" w:val="clear"/>
              </w:rPr>
            </w:r>
          </w:p>
        </w:tc>
      </w:tr>
      <w:tr>
        <w:trPr/>
        <w:tc>
          <w:tcPr>
            <w:tcW w:w="10977" w:type="dxa"/>
            <w:tcBorders>
              <w:top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shd w:fill="FFFFFF" w:val="clear"/>
              </w:rPr>
            </w:pPr>
            <w:r>
              <w:rPr>
                <w:rFonts w:cs="Times New Roman" w:ascii="Times New Roman" w:hAnsi="Times New Roman"/>
                <w:shd w:fill="FFFFFF" w:val="clear"/>
              </w:rPr>
              <w:t>(наименование стройки)</w:t>
            </w:r>
          </w:p>
        </w:tc>
      </w:tr>
      <w:tr>
        <w:trPr/>
        <w:tc>
          <w:tcPr>
            <w:tcW w:w="10977" w:type="dxa"/>
            <w:tcBorders/>
          </w:tcPr>
          <w:p>
            <w:pPr>
              <w:pStyle w:val="ConsPlusNormal1"/>
              <w:widowControl w:val="false"/>
              <w:jc w:val="center"/>
              <w:rPr>
                <w:shd w:fill="FFFFFF" w:val="clear"/>
              </w:rPr>
            </w:pPr>
            <w:r>
              <w:rPr>
                <w:rFonts w:cs="Times New Roman" w:ascii="Times New Roman" w:hAnsi="Times New Roman"/>
                <w:shd w:fill="FFFFFF" w:val="clear"/>
              </w:rPr>
              <w:t>Составлен в текущих ценах, соответствующих периоду выполнения работ по Договору_________________ 20__ г.</w:t>
            </w:r>
          </w:p>
        </w:tc>
      </w:tr>
    </w:tbl>
    <w:p>
      <w:pPr>
        <w:pStyle w:val="ConsPlusNormal1"/>
        <w:jc w:val="center"/>
        <w:rPr>
          <w:rFonts w:ascii="Times New Roman" w:hAnsi="Times New Roman" w:cs="Times New Roman"/>
          <w:shd w:fill="FFFFFF" w:val="clear"/>
        </w:rPr>
      </w:pPr>
      <w:r>
        <w:rPr>
          <w:rFonts w:cs="Times New Roman" w:ascii="Times New Roman" w:hAnsi="Times New Roman"/>
          <w:shd w:fill="FFFFFF" w:val="clear"/>
        </w:rPr>
      </w:r>
    </w:p>
    <w:tbl>
      <w:tblPr>
        <w:tblW w:w="10706" w:type="dxa"/>
        <w:jc w:val="left"/>
        <w:tblInd w:w="34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noVBand="0" w:noHBand="0" w:lastColumn="0" w:firstColumn="0" w:lastRow="0" w:firstRow="0"/>
      </w:tblPr>
      <w:tblGrid>
        <w:gridCol w:w="431"/>
        <w:gridCol w:w="990"/>
        <w:gridCol w:w="299"/>
        <w:gridCol w:w="1630"/>
        <w:gridCol w:w="57"/>
        <w:gridCol w:w="1699"/>
        <w:gridCol w:w="14"/>
        <w:gridCol w:w="1267"/>
        <w:gridCol w:w="1428"/>
        <w:gridCol w:w="1134"/>
        <w:gridCol w:w="1755"/>
      </w:tblGrid>
      <w:tr>
        <w:trPr>
          <w:trHeight w:val="311" w:hRule="atLeast"/>
        </w:trPr>
        <w:tc>
          <w:tcPr>
            <w:tcW w:w="4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shd w:fill="FFFFFF" w:val="clear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shd w:fill="FFFFFF" w:val="clear"/>
              </w:rPr>
              <w:t>Nп/п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shd w:fill="FFFFFF" w:val="clear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shd w:fill="FFFFFF" w:val="clear"/>
              </w:rPr>
              <w:t>Обоснование</w:t>
            </w:r>
          </w:p>
        </w:tc>
        <w:tc>
          <w:tcPr>
            <w:tcW w:w="1986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60"/>
              <w:jc w:val="center"/>
              <w:rPr>
                <w:shd w:fill="FFFFFF" w:val="clear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shd w:fill="FFFFFF" w:val="clear"/>
              </w:rPr>
              <w:t>Наименование глав, объектов капитального строительства, работ и затрат</w:t>
            </w:r>
          </w:p>
        </w:tc>
        <w:tc>
          <w:tcPr>
            <w:tcW w:w="729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shd w:fill="FFFFFF" w:val="clear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shd w:fill="FFFFFF" w:val="clear"/>
              </w:rPr>
              <w:t>Сметная стоимость, руб.</w:t>
            </w:r>
          </w:p>
        </w:tc>
      </w:tr>
      <w:tr>
        <w:trPr>
          <w:trHeight w:val="1294" w:hRule="atLeast"/>
        </w:trPr>
        <w:tc>
          <w:tcPr>
            <w:tcW w:w="43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  <w:shd w:fill="FFFFFF" w:val="clear"/>
              </w:rPr>
            </w:pPr>
            <w:r>
              <w:rPr>
                <w:rFonts w:ascii="Times New Roman" w:hAnsi="Times New Roman"/>
                <w:sz w:val="18"/>
                <w:szCs w:val="18"/>
                <w:shd w:fill="FFFFFF" w:val="clear"/>
              </w:rPr>
            </w:r>
          </w:p>
        </w:tc>
        <w:tc>
          <w:tcPr>
            <w:tcW w:w="99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  <w:shd w:fill="FFFFFF" w:val="clear"/>
              </w:rPr>
            </w:pPr>
            <w:r>
              <w:rPr>
                <w:rFonts w:ascii="Times New Roman" w:hAnsi="Times New Roman"/>
                <w:sz w:val="18"/>
                <w:szCs w:val="18"/>
                <w:shd w:fill="FFFFFF" w:val="clear"/>
              </w:rPr>
            </w:r>
          </w:p>
        </w:tc>
        <w:tc>
          <w:tcPr>
            <w:tcW w:w="1986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  <w:shd w:fill="FFFFFF" w:val="clear"/>
              </w:rPr>
            </w:pPr>
            <w:r>
              <w:rPr>
                <w:rFonts w:ascii="Times New Roman" w:hAnsi="Times New Roman"/>
                <w:sz w:val="18"/>
                <w:szCs w:val="18"/>
                <w:shd w:fill="FFFFFF" w:val="clear"/>
              </w:rPr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66"/>
              <w:jc w:val="center"/>
              <w:rPr>
                <w:shd w:fill="FFFFFF" w:val="clear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shd w:fill="FFFFFF" w:val="clear"/>
              </w:rPr>
              <w:t>строительных (ремонтно-строительных, ремонтно-реставрационных) работ</w:t>
            </w:r>
          </w:p>
        </w:tc>
        <w:tc>
          <w:tcPr>
            <w:tcW w:w="12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left="191" w:hanging="64"/>
              <w:jc w:val="center"/>
              <w:rPr>
                <w:shd w:fill="FFFFFF" w:val="clear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shd w:fill="FFFFFF" w:val="clear"/>
              </w:rPr>
              <w:t>монтажных работ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86"/>
              <w:jc w:val="center"/>
              <w:rPr>
                <w:shd w:fill="FFFFFF" w:val="clear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shd w:fill="FFFFFF" w:val="clear"/>
              </w:rPr>
              <w:t>оборудования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left="-113" w:hanging="0"/>
              <w:jc w:val="center"/>
              <w:rPr>
                <w:shd w:fill="FFFFFF" w:val="clear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shd w:fill="FFFFFF" w:val="clear"/>
              </w:rPr>
              <w:t>прочих затрат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shd w:fill="FFFFFF" w:val="clear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shd w:fill="FFFFFF" w:val="clear"/>
              </w:rPr>
              <w:t>всего</w:t>
            </w:r>
          </w:p>
        </w:tc>
      </w:tr>
      <w:tr>
        <w:trPr>
          <w:trHeight w:val="144" w:hRule="atLeast"/>
        </w:trPr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shd w:fill="FFFFFF" w:val="clear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shd w:fill="FFFFFF" w:val="clear"/>
              </w:rPr>
              <w:t>11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  <w:shd w:fill="FFFFFF" w:val="clear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shd w:fill="FFFFFF" w:val="clear"/>
              </w:rPr>
            </w:r>
          </w:p>
          <w:p>
            <w:pPr>
              <w:pStyle w:val="ConsPlusNormal1"/>
              <w:widowControl w:val="false"/>
              <w:jc w:val="center"/>
              <w:rPr>
                <w:shd w:fill="FFFFFF" w:val="clear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shd w:fill="FFFFFF" w:val="clear"/>
              </w:rPr>
              <w:t>2</w:t>
            </w:r>
          </w:p>
        </w:tc>
        <w:tc>
          <w:tcPr>
            <w:tcW w:w="19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  <w:shd w:fill="FFFFFF" w:val="clear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shd w:fill="FFFFFF" w:val="clear"/>
              </w:rPr>
            </w:r>
          </w:p>
          <w:p>
            <w:pPr>
              <w:pStyle w:val="ConsPlusNormal1"/>
              <w:widowControl w:val="false"/>
              <w:jc w:val="center"/>
              <w:rPr>
                <w:shd w:fill="FFFFFF" w:val="clear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shd w:fill="FFFFFF" w:val="clear"/>
              </w:rPr>
              <w:t>3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  <w:shd w:fill="FFFFFF" w:val="clear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shd w:fill="FFFFFF" w:val="clear"/>
              </w:rPr>
            </w:r>
          </w:p>
          <w:p>
            <w:pPr>
              <w:pStyle w:val="ConsPlusNormal1"/>
              <w:widowControl w:val="false"/>
              <w:jc w:val="center"/>
              <w:rPr>
                <w:shd w:fill="FFFFFF" w:val="clear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shd w:fill="FFFFFF" w:val="clear"/>
              </w:rPr>
              <w:t>4</w:t>
            </w:r>
          </w:p>
        </w:tc>
        <w:tc>
          <w:tcPr>
            <w:tcW w:w="12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  <w:shd w:fill="FFFFFF" w:val="clear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shd w:fill="FFFFFF" w:val="clear"/>
              </w:rPr>
            </w:r>
          </w:p>
          <w:p>
            <w:pPr>
              <w:pStyle w:val="ConsPlusNormal1"/>
              <w:widowControl w:val="false"/>
              <w:jc w:val="center"/>
              <w:rPr>
                <w:shd w:fill="FFFFFF" w:val="clear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shd w:fill="FFFFFF" w:val="clear"/>
              </w:rPr>
              <w:t>5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  <w:shd w:fill="FFFFFF" w:val="clear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shd w:fill="FFFFFF" w:val="clear"/>
              </w:rPr>
            </w:r>
          </w:p>
          <w:p>
            <w:pPr>
              <w:pStyle w:val="ConsPlusNormal1"/>
              <w:widowControl w:val="false"/>
              <w:jc w:val="center"/>
              <w:rPr>
                <w:shd w:fill="FFFFFF" w:val="clear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shd w:fill="FFFFFF" w:val="clear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  <w:shd w:fill="FFFFFF" w:val="clear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shd w:fill="FFFFFF" w:val="clear"/>
              </w:rPr>
            </w:r>
          </w:p>
          <w:p>
            <w:pPr>
              <w:pStyle w:val="ConsPlusNormal1"/>
              <w:widowControl w:val="false"/>
              <w:jc w:val="center"/>
              <w:rPr>
                <w:shd w:fill="FFFFFF" w:val="clear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shd w:fill="FFFFFF" w:val="clear"/>
              </w:rPr>
              <w:t>7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  <w:shd w:fill="FFFFFF" w:val="clear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shd w:fill="FFFFFF" w:val="clear"/>
              </w:rPr>
            </w:r>
          </w:p>
          <w:p>
            <w:pPr>
              <w:pStyle w:val="ConsPlusNormal1"/>
              <w:widowControl w:val="false"/>
              <w:jc w:val="center"/>
              <w:rPr>
                <w:shd w:fill="FFFFFF" w:val="clear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shd w:fill="FFFFFF" w:val="clear"/>
              </w:rPr>
              <w:t>8</w:t>
            </w:r>
          </w:p>
        </w:tc>
      </w:tr>
      <w:tr>
        <w:trPr/>
        <w:tc>
          <w:tcPr>
            <w:tcW w:w="1070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shd w:fill="FFFFFF" w:val="clear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shd w:fill="FFFFFF" w:val="clear"/>
              </w:rPr>
              <w:t xml:space="preserve">Сметы основного договора </w:t>
            </w:r>
          </w:p>
        </w:tc>
      </w:tr>
      <w:tr>
        <w:trPr>
          <w:trHeight w:val="287" w:hRule="atLeast"/>
        </w:trPr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shd w:fill="FFFFFF" w:val="clear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shd w:fill="FFFFFF" w:val="clear"/>
              </w:rPr>
              <w:t>11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  <w:shd w:fill="FFFFFF" w:val="clear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shd w:fill="FFFFFF" w:val="clear"/>
              </w:rPr>
            </w:r>
          </w:p>
        </w:tc>
        <w:tc>
          <w:tcPr>
            <w:tcW w:w="19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  <w:shd w:fill="FFFFFF" w:val="clear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shd w:fill="FFFFFF" w:val="clear"/>
              </w:rPr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  <w:shd w:fill="FFFFFF" w:val="clear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shd w:fill="FFFFFF" w:val="clear"/>
              </w:rPr>
            </w:r>
          </w:p>
        </w:tc>
        <w:tc>
          <w:tcPr>
            <w:tcW w:w="12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  <w:shd w:fill="FFFFFF" w:val="clear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shd w:fill="FFFFFF" w:val="clear"/>
              </w:rPr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  <w:shd w:fill="FFFFFF" w:val="clear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shd w:fill="FFFFFF" w:val="clear"/>
              </w:rPr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  <w:shd w:fill="FFFFFF" w:val="clear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shd w:fill="FFFFFF" w:val="clear"/>
              </w:rPr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  <w:shd w:fill="FFFFFF" w:val="clear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shd w:fill="FFFFFF" w:val="clear"/>
              </w:rPr>
            </w:r>
          </w:p>
        </w:tc>
      </w:tr>
      <w:tr>
        <w:trPr>
          <w:trHeight w:val="339" w:hRule="atLeast"/>
        </w:trPr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shd w:fill="FFFFFF" w:val="clear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shd w:fill="FFFFFF" w:val="clear"/>
              </w:rPr>
              <w:t>12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  <w:shd w:fill="FFFFFF" w:val="clear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shd w:fill="FFFFFF" w:val="clear"/>
              </w:rPr>
            </w:r>
          </w:p>
        </w:tc>
        <w:tc>
          <w:tcPr>
            <w:tcW w:w="19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  <w:shd w:fill="FFFFFF" w:val="clear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shd w:fill="FFFFFF" w:val="clear"/>
              </w:rPr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  <w:shd w:fill="FFFFFF" w:val="clear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shd w:fill="FFFFFF" w:val="clear"/>
              </w:rPr>
            </w:r>
          </w:p>
        </w:tc>
        <w:tc>
          <w:tcPr>
            <w:tcW w:w="12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  <w:shd w:fill="FFFFFF" w:val="clear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shd w:fill="FFFFFF" w:val="clear"/>
              </w:rPr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  <w:shd w:fill="FFFFFF" w:val="clear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shd w:fill="FFFFFF" w:val="clear"/>
              </w:rPr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  <w:shd w:fill="FFFFFF" w:val="clear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shd w:fill="FFFFFF" w:val="clear"/>
              </w:rPr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  <w:shd w:fill="FFFFFF" w:val="clear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shd w:fill="FFFFFF" w:val="clear"/>
              </w:rPr>
            </w:r>
          </w:p>
        </w:tc>
      </w:tr>
      <w:tr>
        <w:trPr>
          <w:trHeight w:val="321" w:hRule="atLeast"/>
        </w:trPr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shd w:fill="FFFFFF" w:val="clear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shd w:fill="FFFFFF" w:val="clear"/>
              </w:rPr>
              <w:t>33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  <w:shd w:fill="FFFFFF" w:val="clear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shd w:fill="FFFFFF" w:val="clear"/>
              </w:rPr>
            </w:r>
          </w:p>
        </w:tc>
        <w:tc>
          <w:tcPr>
            <w:tcW w:w="19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rPr>
                <w:shd w:fill="FFFFFF" w:val="clear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shd w:fill="FFFFFF" w:val="clear"/>
              </w:rPr>
              <w:t xml:space="preserve">Итого по сметам основного договора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  <w:shd w:fill="FFFFFF" w:val="clear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shd w:fill="FFFFFF" w:val="clear"/>
              </w:rPr>
            </w:r>
          </w:p>
        </w:tc>
        <w:tc>
          <w:tcPr>
            <w:tcW w:w="12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  <w:shd w:fill="FFFFFF" w:val="clear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shd w:fill="FFFFFF" w:val="clear"/>
              </w:rPr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  <w:shd w:fill="FFFFFF" w:val="clear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shd w:fill="FFFFFF" w:val="clear"/>
              </w:rPr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  <w:shd w:fill="FFFFFF" w:val="clear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shd w:fill="FFFFFF" w:val="clear"/>
              </w:rPr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  <w:shd w:fill="FFFFFF" w:val="clear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shd w:fill="FFFFFF" w:val="clear"/>
              </w:rPr>
            </w:r>
          </w:p>
        </w:tc>
      </w:tr>
      <w:tr>
        <w:trPr>
          <w:trHeight w:val="321" w:hRule="atLeast"/>
        </w:trPr>
        <w:tc>
          <w:tcPr>
            <w:tcW w:w="1070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shd w:fill="FFFFFF" w:val="clear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shd w:fill="FFFFFF" w:val="clear"/>
              </w:rPr>
              <w:t>Включить дополнительным соглашением № 1</w:t>
            </w:r>
          </w:p>
        </w:tc>
      </w:tr>
      <w:tr>
        <w:trPr>
          <w:trHeight w:val="321" w:hRule="atLeast"/>
        </w:trPr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shd w:fill="FFFFFF" w:val="clear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shd w:fill="FFFFFF" w:val="clear"/>
              </w:rPr>
              <w:t>34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  <w:shd w:fill="FFFFFF" w:val="clear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shd w:fill="FFFFFF" w:val="clear"/>
              </w:rPr>
            </w:r>
          </w:p>
        </w:tc>
        <w:tc>
          <w:tcPr>
            <w:tcW w:w="19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rPr>
                <w:rFonts w:ascii="Times New Roman" w:hAnsi="Times New Roman" w:cs="Times New Roman"/>
                <w:sz w:val="18"/>
                <w:szCs w:val="18"/>
                <w:shd w:fill="FFFFFF" w:val="clear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shd w:fill="FFFFFF" w:val="clear"/>
              </w:rPr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  <w:shd w:fill="FFFFFF" w:val="clear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shd w:fill="FFFFFF" w:val="clear"/>
              </w:rPr>
            </w:r>
          </w:p>
        </w:tc>
        <w:tc>
          <w:tcPr>
            <w:tcW w:w="12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  <w:shd w:fill="FFFFFF" w:val="clear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shd w:fill="FFFFFF" w:val="clear"/>
              </w:rPr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  <w:shd w:fill="FFFFFF" w:val="clear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shd w:fill="FFFFFF" w:val="clear"/>
              </w:rPr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  <w:shd w:fill="FFFFFF" w:val="clear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shd w:fill="FFFFFF" w:val="clear"/>
              </w:rPr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  <w:shd w:fill="FFFFFF" w:val="clear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shd w:fill="FFFFFF" w:val="clear"/>
              </w:rPr>
            </w:r>
          </w:p>
        </w:tc>
      </w:tr>
      <w:tr>
        <w:trPr>
          <w:trHeight w:val="321" w:hRule="atLeast"/>
        </w:trPr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shd w:fill="FFFFFF" w:val="clear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shd w:fill="FFFFFF" w:val="clear"/>
              </w:rPr>
              <w:t>45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  <w:shd w:fill="FFFFFF" w:val="clear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shd w:fill="FFFFFF" w:val="clear"/>
              </w:rPr>
            </w:r>
          </w:p>
        </w:tc>
        <w:tc>
          <w:tcPr>
            <w:tcW w:w="19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rPr>
                <w:rFonts w:ascii="Times New Roman" w:hAnsi="Times New Roman" w:cs="Times New Roman"/>
                <w:sz w:val="18"/>
                <w:szCs w:val="18"/>
                <w:shd w:fill="FFFFFF" w:val="clear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shd w:fill="FFFFFF" w:val="clear"/>
              </w:rPr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  <w:shd w:fill="FFFFFF" w:val="clear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shd w:fill="FFFFFF" w:val="clear"/>
              </w:rPr>
            </w:r>
          </w:p>
        </w:tc>
        <w:tc>
          <w:tcPr>
            <w:tcW w:w="12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  <w:shd w:fill="FFFFFF" w:val="clear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shd w:fill="FFFFFF" w:val="clear"/>
              </w:rPr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  <w:shd w:fill="FFFFFF" w:val="clear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shd w:fill="FFFFFF" w:val="clear"/>
              </w:rPr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  <w:shd w:fill="FFFFFF" w:val="clear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shd w:fill="FFFFFF" w:val="clear"/>
              </w:rPr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  <w:shd w:fill="FFFFFF" w:val="clear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shd w:fill="FFFFFF" w:val="clear"/>
              </w:rPr>
            </w:r>
          </w:p>
        </w:tc>
      </w:tr>
      <w:tr>
        <w:trPr>
          <w:trHeight w:val="321" w:hRule="atLeast"/>
        </w:trPr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  <w:shd w:fill="FFFFFF" w:val="clear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shd w:fill="FFFFFF" w:val="clear"/>
              </w:rPr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  <w:shd w:fill="FFFFFF" w:val="clear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shd w:fill="FFFFFF" w:val="clear"/>
              </w:rPr>
            </w:r>
          </w:p>
        </w:tc>
        <w:tc>
          <w:tcPr>
            <w:tcW w:w="19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rPr>
                <w:shd w:fill="FFFFFF" w:val="clear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shd w:fill="FFFFFF" w:val="clear"/>
              </w:rPr>
              <w:t>Итого включено дополнительным соглашением № 1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  <w:shd w:fill="FFFFFF" w:val="clear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shd w:fill="FFFFFF" w:val="clear"/>
              </w:rPr>
            </w:r>
          </w:p>
        </w:tc>
        <w:tc>
          <w:tcPr>
            <w:tcW w:w="12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  <w:shd w:fill="FFFFFF" w:val="clear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shd w:fill="FFFFFF" w:val="clear"/>
              </w:rPr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  <w:shd w:fill="FFFFFF" w:val="clear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shd w:fill="FFFFFF" w:val="clear"/>
              </w:rPr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  <w:shd w:fill="FFFFFF" w:val="clear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shd w:fill="FFFFFF" w:val="clear"/>
              </w:rPr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  <w:shd w:fill="FFFFFF" w:val="clear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shd w:fill="FFFFFF" w:val="clear"/>
              </w:rPr>
            </w:r>
          </w:p>
        </w:tc>
      </w:tr>
      <w:tr>
        <w:trPr>
          <w:trHeight w:val="321" w:hRule="atLeast"/>
        </w:trPr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  <w:shd w:fill="FFFFFF" w:val="clear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shd w:fill="FFFFFF" w:val="clear"/>
              </w:rPr>
            </w:r>
          </w:p>
        </w:tc>
        <w:tc>
          <w:tcPr>
            <w:tcW w:w="1027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shd w:fill="FFFFFF" w:val="clear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shd w:fill="FFFFFF" w:val="clear"/>
              </w:rPr>
              <w:t>Исключить дополнительным соглашением № 2</w:t>
            </w:r>
          </w:p>
        </w:tc>
      </w:tr>
      <w:tr>
        <w:trPr>
          <w:trHeight w:val="321" w:hRule="atLeast"/>
        </w:trPr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shd w:fill="FFFFFF" w:val="clear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shd w:fill="FFFFFF" w:val="clear"/>
              </w:rPr>
              <w:t>56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  <w:shd w:fill="FFFFFF" w:val="clear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shd w:fill="FFFFFF" w:val="clear"/>
              </w:rPr>
            </w:r>
          </w:p>
        </w:tc>
        <w:tc>
          <w:tcPr>
            <w:tcW w:w="19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rPr>
                <w:shd w:fill="FFFFFF" w:val="clear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shd w:fill="FFFFFF" w:val="clear"/>
              </w:rPr>
              <w:t>Итого исключено дополнительным соглашением № 2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  <w:shd w:fill="FFFFFF" w:val="clear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shd w:fill="FFFFFF" w:val="clear"/>
              </w:rPr>
            </w:r>
          </w:p>
        </w:tc>
        <w:tc>
          <w:tcPr>
            <w:tcW w:w="12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  <w:shd w:fill="FFFFFF" w:val="clear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shd w:fill="FFFFFF" w:val="clear"/>
              </w:rPr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  <w:shd w:fill="FFFFFF" w:val="clear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shd w:fill="FFFFFF" w:val="clear"/>
              </w:rPr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  <w:shd w:fill="FFFFFF" w:val="clear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shd w:fill="FFFFFF" w:val="clear"/>
              </w:rPr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  <w:shd w:fill="FFFFFF" w:val="clear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shd w:fill="FFFFFF" w:val="clear"/>
              </w:rPr>
            </w:r>
          </w:p>
        </w:tc>
      </w:tr>
      <w:tr>
        <w:trPr>
          <w:trHeight w:val="321" w:hRule="atLeast"/>
        </w:trPr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  <w:shd w:fill="FFFFFF" w:val="clear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shd w:fill="FFFFFF" w:val="clear"/>
              </w:rPr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  <w:shd w:fill="FFFFFF" w:val="clear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shd w:fill="FFFFFF" w:val="clear"/>
              </w:rPr>
            </w:r>
          </w:p>
        </w:tc>
        <w:tc>
          <w:tcPr>
            <w:tcW w:w="19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rPr>
                <w:shd w:fill="FFFFFF" w:val="clear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shd w:fill="FFFFFF" w:val="clear"/>
              </w:rPr>
              <w:t>Итого по главе №: __________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  <w:shd w:fill="FFFFFF" w:val="clear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shd w:fill="FFFFFF" w:val="clear"/>
              </w:rPr>
            </w:r>
          </w:p>
        </w:tc>
        <w:tc>
          <w:tcPr>
            <w:tcW w:w="12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  <w:shd w:fill="FFFFFF" w:val="clear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shd w:fill="FFFFFF" w:val="clear"/>
              </w:rPr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  <w:shd w:fill="FFFFFF" w:val="clear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shd w:fill="FFFFFF" w:val="clear"/>
              </w:rPr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  <w:shd w:fill="FFFFFF" w:val="clear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shd w:fill="FFFFFF" w:val="clear"/>
              </w:rPr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  <w:shd w:fill="FFFFFF" w:val="clear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shd w:fill="FFFFFF" w:val="clear"/>
              </w:rPr>
            </w:r>
          </w:p>
        </w:tc>
      </w:tr>
      <w:tr>
        <w:trPr>
          <w:trHeight w:val="321" w:hRule="atLeast"/>
        </w:trPr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  <w:shd w:fill="FFFFFF" w:val="clear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shd w:fill="FFFFFF" w:val="clear"/>
              </w:rPr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  <w:shd w:fill="FFFFFF" w:val="clear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shd w:fill="FFFFFF" w:val="clear"/>
              </w:rPr>
            </w:r>
          </w:p>
        </w:tc>
        <w:tc>
          <w:tcPr>
            <w:tcW w:w="19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rPr>
                <w:shd w:fill="FFFFFF" w:val="clear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shd w:fill="FFFFFF" w:val="clear"/>
              </w:rPr>
              <w:t xml:space="preserve">Итого по главам №№: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  <w:shd w:fill="FFFFFF" w:val="clear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shd w:fill="FFFFFF" w:val="clear"/>
              </w:rPr>
            </w:r>
          </w:p>
        </w:tc>
        <w:tc>
          <w:tcPr>
            <w:tcW w:w="12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  <w:shd w:fill="FFFFFF" w:val="clear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shd w:fill="FFFFFF" w:val="clear"/>
              </w:rPr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  <w:shd w:fill="FFFFFF" w:val="clear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shd w:fill="FFFFFF" w:val="clear"/>
              </w:rPr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  <w:shd w:fill="FFFFFF" w:val="clear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shd w:fill="FFFFFF" w:val="clear"/>
              </w:rPr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  <w:shd w:fill="FFFFFF" w:val="clear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shd w:fill="FFFFFF" w:val="clear"/>
              </w:rPr>
            </w:r>
          </w:p>
        </w:tc>
      </w:tr>
      <w:tr>
        <w:trPr>
          <w:trHeight w:val="321" w:hRule="atLeast"/>
        </w:trPr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  <w:shd w:fill="FFFFFF" w:val="clear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shd w:fill="FFFFFF" w:val="clear"/>
              </w:rPr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  <w:shd w:fill="FFFFFF" w:val="clear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shd w:fill="FFFFFF" w:val="clear"/>
              </w:rPr>
            </w:r>
          </w:p>
        </w:tc>
        <w:tc>
          <w:tcPr>
            <w:tcW w:w="19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rPr>
                <w:shd w:fill="FFFFFF" w:val="clear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shd w:fill="FFFFFF" w:val="clear"/>
              </w:rPr>
              <w:t>Всего по ССР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  <w:shd w:fill="FFFFFF" w:val="clear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shd w:fill="FFFFFF" w:val="clear"/>
              </w:rPr>
            </w:r>
          </w:p>
        </w:tc>
        <w:tc>
          <w:tcPr>
            <w:tcW w:w="12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  <w:shd w:fill="FFFFFF" w:val="clear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shd w:fill="FFFFFF" w:val="clear"/>
              </w:rPr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  <w:shd w:fill="FFFFFF" w:val="clear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shd w:fill="FFFFFF" w:val="clear"/>
              </w:rPr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  <w:shd w:fill="FFFFFF" w:val="clear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shd w:fill="FFFFFF" w:val="clear"/>
              </w:rPr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  <w:shd w:fill="FFFFFF" w:val="clear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shd w:fill="FFFFFF" w:val="clear"/>
              </w:rPr>
            </w:r>
          </w:p>
        </w:tc>
      </w:tr>
      <w:tr>
        <w:trPr>
          <w:trHeight w:val="283" w:hRule="atLeast"/>
        </w:trPr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  <w:shd w:fill="FFFFFF" w:val="clear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shd w:fill="FFFFFF" w:val="clear"/>
              </w:rPr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  <w:shd w:fill="FFFFFF" w:val="clear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shd w:fill="FFFFFF" w:val="clear"/>
              </w:rPr>
            </w:r>
          </w:p>
        </w:tc>
        <w:tc>
          <w:tcPr>
            <w:tcW w:w="19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rPr>
                <w:shd w:fill="FFFFFF" w:val="clear"/>
              </w:rPr>
            </w:pPr>
            <w:r>
              <w:rPr>
                <w:rFonts w:cs="Times New Roman" w:ascii="Times New Roman" w:hAnsi="Times New Roman"/>
                <w:i/>
                <w:sz w:val="18"/>
                <w:szCs w:val="18"/>
                <w:u w:val="single"/>
                <w:shd w:fill="FFFFFF" w:val="clear"/>
              </w:rPr>
              <w:t>Справочно</w:t>
            </w:r>
            <w:r>
              <w:rPr>
                <w:rFonts w:cs="Times New Roman" w:ascii="Times New Roman" w:hAnsi="Times New Roman"/>
                <w:i/>
                <w:sz w:val="18"/>
                <w:szCs w:val="18"/>
                <w:shd w:fill="FFFFFF" w:val="clear"/>
              </w:rPr>
              <w:t>.</w:t>
            </w:r>
          </w:p>
          <w:p>
            <w:pPr>
              <w:pStyle w:val="ConsPlusNormal1"/>
              <w:widowControl w:val="false"/>
              <w:ind w:hanging="0"/>
              <w:rPr>
                <w:rFonts w:ascii="Times New Roman" w:hAnsi="Times New Roman" w:cs="Times New Roman"/>
                <w:i/>
                <w:i/>
                <w:sz w:val="18"/>
                <w:szCs w:val="18"/>
                <w:shd w:fill="FFFFFF" w:val="clear"/>
              </w:rPr>
            </w:pPr>
            <w:r>
              <w:rPr>
                <w:rFonts w:cs="Times New Roman" w:ascii="Times New Roman" w:hAnsi="Times New Roman"/>
                <w:i/>
                <w:sz w:val="18"/>
                <w:szCs w:val="18"/>
                <w:shd w:fill="FFFFFF" w:val="clear"/>
              </w:rPr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  <w:shd w:fill="FFFFFF" w:val="clear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shd w:fill="FFFFFF" w:val="clear"/>
              </w:rPr>
            </w:r>
          </w:p>
        </w:tc>
        <w:tc>
          <w:tcPr>
            <w:tcW w:w="12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  <w:shd w:fill="FFFFFF" w:val="clear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shd w:fill="FFFFFF" w:val="clear"/>
              </w:rPr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  <w:shd w:fill="FFFFFF" w:val="clear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shd w:fill="FFFFFF" w:val="clear"/>
              </w:rPr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  <w:shd w:fill="FFFFFF" w:val="clear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shd w:fill="FFFFFF" w:val="clear"/>
              </w:rPr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  <w:shd w:fill="FFFFFF" w:val="clear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shd w:fill="FFFFFF" w:val="clear"/>
              </w:rPr>
            </w:r>
          </w:p>
        </w:tc>
      </w:tr>
      <w:tr>
        <w:trPr>
          <w:trHeight w:val="321" w:hRule="atLeast"/>
        </w:trPr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  <w:shd w:fill="FFFFFF" w:val="clear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shd w:fill="FFFFFF" w:val="clear"/>
              </w:rPr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  <w:shd w:fill="FFFFFF" w:val="clear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shd w:fill="FFFFFF" w:val="clear"/>
              </w:rPr>
            </w:r>
          </w:p>
        </w:tc>
        <w:tc>
          <w:tcPr>
            <w:tcW w:w="19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rPr>
                <w:shd w:fill="FFFFFF" w:val="clear"/>
              </w:rPr>
            </w:pPr>
            <w:r>
              <w:rPr>
                <w:rFonts w:cs="Times New Roman" w:ascii="Times New Roman" w:hAnsi="Times New Roman"/>
                <w:i/>
                <w:sz w:val="18"/>
                <w:szCs w:val="18"/>
                <w:shd w:fill="FFFFFF" w:val="clear"/>
              </w:rPr>
              <w:t>Сумма основного договора, без НДС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  <w:shd w:fill="FFFFFF" w:val="clear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shd w:fill="FFFFFF" w:val="clear"/>
              </w:rPr>
            </w:r>
          </w:p>
        </w:tc>
        <w:tc>
          <w:tcPr>
            <w:tcW w:w="12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  <w:shd w:fill="FFFFFF" w:val="clear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shd w:fill="FFFFFF" w:val="clear"/>
              </w:rPr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  <w:shd w:fill="FFFFFF" w:val="clear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shd w:fill="FFFFFF" w:val="clear"/>
              </w:rPr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  <w:shd w:fill="FFFFFF" w:val="clear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shd w:fill="FFFFFF" w:val="clear"/>
              </w:rPr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  <w:shd w:fill="FFFFFF" w:val="clear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shd w:fill="FFFFFF" w:val="clear"/>
              </w:rPr>
            </w:r>
          </w:p>
        </w:tc>
      </w:tr>
      <w:tr>
        <w:trPr>
          <w:trHeight w:val="321" w:hRule="atLeast"/>
        </w:trPr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  <w:shd w:fill="FFFFFF" w:val="clear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shd w:fill="FFFFFF" w:val="clear"/>
              </w:rPr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  <w:shd w:fill="FFFFFF" w:val="clear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shd w:fill="FFFFFF" w:val="clear"/>
              </w:rPr>
            </w:r>
          </w:p>
        </w:tc>
        <w:tc>
          <w:tcPr>
            <w:tcW w:w="19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rPr>
                <w:shd w:fill="FFFFFF" w:val="clear"/>
              </w:rPr>
            </w:pPr>
            <w:r>
              <w:rPr>
                <w:rFonts w:cs="Times New Roman" w:ascii="Times New Roman" w:hAnsi="Times New Roman"/>
                <w:i/>
                <w:sz w:val="18"/>
                <w:szCs w:val="18"/>
                <w:shd w:fill="FFFFFF" w:val="clear"/>
              </w:rPr>
              <w:t>Сумма изменения</w:t>
              <w:br/>
              <w:t xml:space="preserve">(увеличения/уменьшения) стоимости основного договора на основании ДС № 1, без НДС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  <w:shd w:fill="FFFFFF" w:val="clear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shd w:fill="FFFFFF" w:val="clear"/>
              </w:rPr>
            </w:r>
          </w:p>
        </w:tc>
        <w:tc>
          <w:tcPr>
            <w:tcW w:w="12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  <w:shd w:fill="FFFFFF" w:val="clear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shd w:fill="FFFFFF" w:val="clear"/>
              </w:rPr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  <w:shd w:fill="FFFFFF" w:val="clear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shd w:fill="FFFFFF" w:val="clear"/>
              </w:rPr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  <w:shd w:fill="FFFFFF" w:val="clear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shd w:fill="FFFFFF" w:val="clear"/>
              </w:rPr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  <w:shd w:fill="FFFFFF" w:val="clear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shd w:fill="FFFFFF" w:val="clear"/>
              </w:rPr>
            </w:r>
          </w:p>
        </w:tc>
      </w:tr>
      <w:tr>
        <w:trPr>
          <w:trHeight w:val="321" w:hRule="atLeast"/>
        </w:trPr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  <w:shd w:fill="FFFFFF" w:val="clear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shd w:fill="FFFFFF" w:val="clear"/>
              </w:rPr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  <w:shd w:fill="FFFFFF" w:val="clear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shd w:fill="FFFFFF" w:val="clear"/>
              </w:rPr>
            </w:r>
          </w:p>
        </w:tc>
        <w:tc>
          <w:tcPr>
            <w:tcW w:w="19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rPr>
                <w:shd w:fill="FFFFFF" w:val="clear"/>
              </w:rPr>
            </w:pPr>
            <w:r>
              <w:rPr>
                <w:rFonts w:cs="Times New Roman" w:ascii="Times New Roman" w:hAnsi="Times New Roman"/>
                <w:i/>
                <w:sz w:val="18"/>
                <w:szCs w:val="18"/>
                <w:shd w:fill="FFFFFF" w:val="clear"/>
              </w:rPr>
              <w:t>Сумма изменения</w:t>
              <w:br/>
              <w:t>(увеличения/уменьшения) стоимости основного договора на основании ДС № 2, без НДС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  <w:shd w:fill="FFFFFF" w:val="clear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shd w:fill="FFFFFF" w:val="clear"/>
              </w:rPr>
            </w:r>
          </w:p>
        </w:tc>
        <w:tc>
          <w:tcPr>
            <w:tcW w:w="12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  <w:shd w:fill="FFFFFF" w:val="clear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shd w:fill="FFFFFF" w:val="clear"/>
              </w:rPr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  <w:shd w:fill="FFFFFF" w:val="clear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shd w:fill="FFFFFF" w:val="clear"/>
              </w:rPr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  <w:shd w:fill="FFFFFF" w:val="clear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shd w:fill="FFFFFF" w:val="clear"/>
              </w:rPr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  <w:shd w:fill="FFFFFF" w:val="clear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shd w:fill="FFFFFF" w:val="clear"/>
              </w:rPr>
            </w:r>
          </w:p>
        </w:tc>
      </w:tr>
      <w:tr>
        <w:trPr/>
        <w:tc>
          <w:tcPr>
            <w:tcW w:w="3350" w:type="dxa"/>
            <w:gridSpan w:val="4"/>
            <w:tcBorders/>
          </w:tcPr>
          <w:p>
            <w:pPr>
              <w:pStyle w:val="ConsPlusNormal1"/>
              <w:widowControl w:val="false"/>
              <w:tabs>
                <w:tab w:val="clear" w:pos="708"/>
                <w:tab w:val="left" w:pos="2091" w:leader="none"/>
              </w:tabs>
              <w:ind w:left="425" w:hanging="425"/>
              <w:rPr>
                <w:shd w:fill="FFFFFF" w:val="clear"/>
              </w:rPr>
            </w:pPr>
            <w:r>
              <w:rPr>
                <w:rFonts w:cs="Times New Roman" w:ascii="Times New Roman" w:hAnsi="Times New Roman"/>
                <w:shd w:fill="FFFFFF" w:val="clear"/>
              </w:rPr>
              <w:t xml:space="preserve">        </w:t>
            </w:r>
            <w:r>
              <w:rPr>
                <w:rFonts w:cs="Times New Roman" w:ascii="Times New Roman" w:hAnsi="Times New Roman"/>
                <w:shd w:fill="FFFFFF" w:val="clear"/>
              </w:rPr>
              <w:t>Руководитель</w:t>
            </w:r>
          </w:p>
          <w:p>
            <w:pPr>
              <w:pStyle w:val="ConsPlusNormal1"/>
              <w:widowControl w:val="false"/>
              <w:ind w:left="425" w:hanging="425"/>
              <w:rPr>
                <w:shd w:fill="FFFFFF" w:val="clear"/>
              </w:rPr>
            </w:pPr>
            <w:r>
              <w:rPr>
                <w:rFonts w:cs="Times New Roman" w:ascii="Times New Roman" w:hAnsi="Times New Roman"/>
                <w:shd w:fill="FFFFFF" w:val="clear"/>
              </w:rPr>
              <w:t xml:space="preserve">        </w:t>
            </w:r>
            <w:r>
              <w:rPr>
                <w:rFonts w:cs="Times New Roman" w:ascii="Times New Roman" w:hAnsi="Times New Roman"/>
                <w:shd w:fill="FFFFFF" w:val="clear"/>
              </w:rPr>
              <w:t>проектной организации</w:t>
            </w:r>
          </w:p>
        </w:tc>
        <w:tc>
          <w:tcPr>
            <w:tcW w:w="7354" w:type="dxa"/>
            <w:gridSpan w:val="7"/>
            <w:tcBorders>
              <w:bottom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hd w:fill="FFFFFF" w:val="clear"/>
              </w:rPr>
            </w:pPr>
            <w:r>
              <w:rPr>
                <w:rFonts w:cs="Times New Roman" w:ascii="Times New Roman" w:hAnsi="Times New Roman"/>
                <w:shd w:fill="FFFFFF" w:val="clear"/>
              </w:rPr>
            </w:r>
          </w:p>
        </w:tc>
      </w:tr>
      <w:tr>
        <w:trPr/>
        <w:tc>
          <w:tcPr>
            <w:tcW w:w="3350" w:type="dxa"/>
            <w:gridSpan w:val="4"/>
            <w:tcBorders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hd w:fill="FFFFFF" w:val="clear"/>
              </w:rPr>
            </w:pPr>
            <w:r>
              <w:rPr>
                <w:rFonts w:cs="Times New Roman" w:ascii="Times New Roman" w:hAnsi="Times New Roman"/>
                <w:shd w:fill="FFFFFF" w:val="clear"/>
              </w:rPr>
            </w:r>
          </w:p>
        </w:tc>
        <w:tc>
          <w:tcPr>
            <w:tcW w:w="7354" w:type="dxa"/>
            <w:gridSpan w:val="7"/>
            <w:tcBorders>
              <w:top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shd w:fill="FFFFFF" w:val="clear"/>
              </w:rPr>
            </w:pPr>
            <w:r>
              <w:rPr>
                <w:rFonts w:cs="Times New Roman" w:ascii="Times New Roman" w:hAnsi="Times New Roman"/>
                <w:shd w:fill="FFFFFF" w:val="clear"/>
              </w:rPr>
              <w:t>[подпись (инициалы, фамилия)]</w:t>
            </w:r>
          </w:p>
        </w:tc>
      </w:tr>
      <w:tr>
        <w:trPr/>
        <w:tc>
          <w:tcPr>
            <w:tcW w:w="3350" w:type="dxa"/>
            <w:gridSpan w:val="4"/>
            <w:tcBorders/>
          </w:tcPr>
          <w:p>
            <w:pPr>
              <w:pStyle w:val="ConsPlusNormal1"/>
              <w:widowControl w:val="false"/>
              <w:ind w:left="141" w:hanging="141"/>
              <w:jc w:val="center"/>
              <w:rPr>
                <w:shd w:fill="FFFFFF" w:val="clear"/>
              </w:rPr>
            </w:pPr>
            <w:r>
              <w:rPr>
                <w:rFonts w:cs="Times New Roman" w:ascii="Times New Roman" w:hAnsi="Times New Roman"/>
                <w:shd w:fill="FFFFFF" w:val="clear"/>
              </w:rPr>
              <w:t>Главный инженер проекта</w:t>
            </w:r>
          </w:p>
        </w:tc>
        <w:tc>
          <w:tcPr>
            <w:tcW w:w="7354" w:type="dxa"/>
            <w:gridSpan w:val="7"/>
            <w:tcBorders>
              <w:bottom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hd w:fill="FFFFFF" w:val="clear"/>
              </w:rPr>
            </w:pPr>
            <w:r>
              <w:rPr>
                <w:rFonts w:cs="Times New Roman" w:ascii="Times New Roman" w:hAnsi="Times New Roman"/>
                <w:shd w:fill="FFFFFF" w:val="clear"/>
              </w:rPr>
            </w:r>
          </w:p>
        </w:tc>
      </w:tr>
      <w:tr>
        <w:trPr/>
        <w:tc>
          <w:tcPr>
            <w:tcW w:w="3350" w:type="dxa"/>
            <w:gridSpan w:val="4"/>
            <w:tcBorders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hd w:fill="FFFFFF" w:val="clear"/>
              </w:rPr>
            </w:pPr>
            <w:r>
              <w:rPr>
                <w:rFonts w:cs="Times New Roman" w:ascii="Times New Roman" w:hAnsi="Times New Roman"/>
                <w:shd w:fill="FFFFFF" w:val="clear"/>
              </w:rPr>
            </w:r>
          </w:p>
        </w:tc>
        <w:tc>
          <w:tcPr>
            <w:tcW w:w="7354" w:type="dxa"/>
            <w:gridSpan w:val="7"/>
            <w:tcBorders>
              <w:top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shd w:fill="FFFFFF" w:val="clear"/>
              </w:rPr>
            </w:pPr>
            <w:r>
              <w:rPr>
                <w:rFonts w:cs="Times New Roman" w:ascii="Times New Roman" w:hAnsi="Times New Roman"/>
                <w:shd w:fill="FFFFFF" w:val="clear"/>
              </w:rPr>
              <w:t>[подпись (инициалы, фамилия)]</w:t>
            </w:r>
          </w:p>
        </w:tc>
      </w:tr>
      <w:tr>
        <w:trPr/>
        <w:tc>
          <w:tcPr>
            <w:tcW w:w="1720" w:type="dxa"/>
            <w:gridSpan w:val="3"/>
            <w:tcBorders/>
          </w:tcPr>
          <w:p>
            <w:pPr>
              <w:pStyle w:val="ConsPlusNormal1"/>
              <w:widowControl w:val="false"/>
              <w:ind w:firstLine="1"/>
              <w:jc w:val="center"/>
              <w:rPr>
                <w:shd w:fill="FFFFFF" w:val="clear"/>
              </w:rPr>
            </w:pPr>
            <w:r>
              <w:rPr>
                <w:rFonts w:cs="Times New Roman" w:ascii="Times New Roman" w:hAnsi="Times New Roman"/>
                <w:shd w:fill="FFFFFF" w:val="clear"/>
              </w:rPr>
              <w:t>Начальник</w:t>
            </w:r>
          </w:p>
        </w:tc>
        <w:tc>
          <w:tcPr>
            <w:tcW w:w="1687" w:type="dxa"/>
            <w:gridSpan w:val="2"/>
            <w:tcBorders>
              <w:bottom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hd w:fill="FFFFFF" w:val="clear"/>
              </w:rPr>
            </w:pPr>
            <w:r>
              <w:rPr>
                <w:rFonts w:cs="Times New Roman" w:ascii="Times New Roman" w:hAnsi="Times New Roman"/>
                <w:shd w:fill="FFFFFF" w:val="clear"/>
              </w:rPr>
            </w:r>
          </w:p>
        </w:tc>
        <w:tc>
          <w:tcPr>
            <w:tcW w:w="1713" w:type="dxa"/>
            <w:gridSpan w:val="2"/>
            <w:tcBorders/>
          </w:tcPr>
          <w:p>
            <w:pPr>
              <w:pStyle w:val="ConsPlusNormal1"/>
              <w:widowControl w:val="false"/>
              <w:ind w:hanging="67"/>
              <w:jc w:val="center"/>
              <w:rPr>
                <w:shd w:fill="FFFFFF" w:val="clear"/>
              </w:rPr>
            </w:pPr>
            <w:r>
              <w:rPr>
                <w:rFonts w:cs="Times New Roman" w:ascii="Times New Roman" w:hAnsi="Times New Roman"/>
                <w:shd w:fill="FFFFFF" w:val="clear"/>
              </w:rPr>
              <w:t>отдела</w:t>
            </w:r>
          </w:p>
        </w:tc>
        <w:tc>
          <w:tcPr>
            <w:tcW w:w="5584" w:type="dxa"/>
            <w:gridSpan w:val="4"/>
            <w:tcBorders>
              <w:bottom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hd w:fill="FFFFFF" w:val="clear"/>
              </w:rPr>
            </w:pPr>
            <w:r>
              <w:rPr>
                <w:rFonts w:cs="Times New Roman" w:ascii="Times New Roman" w:hAnsi="Times New Roman"/>
                <w:shd w:fill="FFFFFF" w:val="clear"/>
              </w:rPr>
            </w:r>
          </w:p>
        </w:tc>
      </w:tr>
      <w:tr>
        <w:trPr/>
        <w:tc>
          <w:tcPr>
            <w:tcW w:w="1720" w:type="dxa"/>
            <w:gridSpan w:val="3"/>
            <w:tcBorders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hd w:fill="FFFFFF" w:val="clear"/>
              </w:rPr>
            </w:pPr>
            <w:r>
              <w:rPr>
                <w:rFonts w:cs="Times New Roman" w:ascii="Times New Roman" w:hAnsi="Times New Roman"/>
                <w:shd w:fill="FFFFFF" w:val="clear"/>
              </w:rPr>
            </w:r>
          </w:p>
        </w:tc>
        <w:tc>
          <w:tcPr>
            <w:tcW w:w="1687" w:type="dxa"/>
            <w:gridSpan w:val="2"/>
            <w:tcBorders>
              <w:top w:val="single" w:sz="4" w:space="0" w:color="000000"/>
            </w:tcBorders>
          </w:tcPr>
          <w:p>
            <w:pPr>
              <w:pStyle w:val="ConsPlusNormal1"/>
              <w:widowControl w:val="false"/>
              <w:ind w:hanging="198"/>
              <w:jc w:val="center"/>
              <w:rPr>
                <w:shd w:fill="FFFFFF" w:val="clear"/>
              </w:rPr>
            </w:pPr>
            <w:r>
              <w:rPr>
                <w:rFonts w:cs="Times New Roman" w:ascii="Times New Roman" w:hAnsi="Times New Roman"/>
                <w:shd w:fill="FFFFFF" w:val="clear"/>
              </w:rPr>
              <w:t>(наименование)</w:t>
            </w:r>
          </w:p>
        </w:tc>
        <w:tc>
          <w:tcPr>
            <w:tcW w:w="1713" w:type="dxa"/>
            <w:gridSpan w:val="2"/>
            <w:tcBorders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hd w:fill="FFFFFF" w:val="clear"/>
              </w:rPr>
            </w:pPr>
            <w:r>
              <w:rPr>
                <w:rFonts w:cs="Times New Roman" w:ascii="Times New Roman" w:hAnsi="Times New Roman"/>
                <w:shd w:fill="FFFFFF" w:val="clear"/>
              </w:rPr>
            </w:r>
          </w:p>
        </w:tc>
        <w:tc>
          <w:tcPr>
            <w:tcW w:w="5584" w:type="dxa"/>
            <w:gridSpan w:val="4"/>
            <w:tcBorders>
              <w:top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shd w:fill="FFFFFF" w:val="clear"/>
              </w:rPr>
            </w:pPr>
            <w:r>
              <w:rPr>
                <w:rFonts w:cs="Times New Roman" w:ascii="Times New Roman" w:hAnsi="Times New Roman"/>
                <w:shd w:fill="FFFFFF" w:val="clear"/>
              </w:rPr>
              <w:t>[подпись (инициалы, фамилия)]</w:t>
            </w:r>
          </w:p>
        </w:tc>
      </w:tr>
      <w:tr>
        <w:trPr/>
        <w:tc>
          <w:tcPr>
            <w:tcW w:w="1720" w:type="dxa"/>
            <w:gridSpan w:val="3"/>
            <w:tcBorders/>
          </w:tcPr>
          <w:p>
            <w:pPr>
              <w:pStyle w:val="ConsPlusNormal1"/>
              <w:widowControl w:val="false"/>
              <w:ind w:left="141" w:hanging="141"/>
              <w:jc w:val="center"/>
              <w:rPr>
                <w:shd w:fill="FFFFFF" w:val="clear"/>
              </w:rPr>
            </w:pPr>
            <w:r>
              <w:rPr>
                <w:rFonts w:cs="Times New Roman" w:ascii="Times New Roman" w:hAnsi="Times New Roman"/>
                <w:shd w:fill="FFFFFF" w:val="clear"/>
              </w:rPr>
              <w:t xml:space="preserve"> </w:t>
            </w:r>
            <w:r>
              <w:rPr>
                <w:rFonts w:cs="Times New Roman" w:ascii="Times New Roman" w:hAnsi="Times New Roman"/>
                <w:shd w:fill="FFFFFF" w:val="clear"/>
              </w:rPr>
              <w:t>Заказчик</w:t>
            </w:r>
          </w:p>
        </w:tc>
        <w:tc>
          <w:tcPr>
            <w:tcW w:w="8984" w:type="dxa"/>
            <w:gridSpan w:val="8"/>
            <w:tcBorders>
              <w:bottom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hd w:fill="FFFFFF" w:val="clear"/>
              </w:rPr>
            </w:pPr>
            <w:r>
              <w:rPr>
                <w:rFonts w:cs="Times New Roman" w:ascii="Times New Roman" w:hAnsi="Times New Roman"/>
                <w:shd w:fill="FFFFFF" w:val="clear"/>
              </w:rPr>
            </w:r>
          </w:p>
        </w:tc>
      </w:tr>
      <w:tr>
        <w:trPr/>
        <w:tc>
          <w:tcPr>
            <w:tcW w:w="1720" w:type="dxa"/>
            <w:gridSpan w:val="3"/>
            <w:tcBorders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hd w:fill="FFFFFF" w:val="clear"/>
              </w:rPr>
            </w:pPr>
            <w:r>
              <w:rPr>
                <w:rFonts w:cs="Times New Roman" w:ascii="Times New Roman" w:hAnsi="Times New Roman"/>
                <w:shd w:fill="FFFFFF" w:val="clear"/>
              </w:rPr>
            </w:r>
          </w:p>
        </w:tc>
        <w:tc>
          <w:tcPr>
            <w:tcW w:w="8984" w:type="dxa"/>
            <w:gridSpan w:val="8"/>
            <w:tcBorders>
              <w:top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shd w:fill="FFFFFF" w:val="clear"/>
              </w:rPr>
            </w:pPr>
            <w:r>
              <w:rPr>
                <w:rFonts w:cs="Times New Roman" w:ascii="Times New Roman" w:hAnsi="Times New Roman"/>
                <w:shd w:fill="FFFFFF" w:val="clear"/>
              </w:rPr>
              <w:t>[должность, подпись (инициалы, фамилия)]</w:t>
            </w:r>
          </w:p>
        </w:tc>
      </w:tr>
    </w:tbl>
    <w:p>
      <w:pPr>
        <w:sectPr>
          <w:footnotePr>
            <w:numFmt w:val="decimal"/>
            <w:numRestart w:val="eachPage"/>
          </w:footnotePr>
          <w:type w:val="nextPage"/>
          <w:pgSz w:w="11906" w:h="16838"/>
          <w:pgMar w:left="426" w:right="567" w:gutter="0" w:header="0" w:top="0" w:footer="0" w:bottom="340"/>
          <w:pgNumType w:fmt="decimal"/>
          <w:formProt w:val="false"/>
          <w:textDirection w:val="lrTb"/>
          <w:docGrid w:type="default" w:linePitch="360" w:charSpace="20480"/>
        </w:sectPr>
      </w:pPr>
    </w:p>
    <w:p>
      <w:pPr>
        <w:pStyle w:val="Normal"/>
        <w:spacing w:lineRule="auto" w:line="240" w:before="0" w:after="0"/>
        <w:rPr>
          <w:rFonts w:ascii="Times New Roman" w:hAnsi="Times New Roman"/>
          <w:b/>
          <w:shd w:fill="FFFFFF" w:val="clear"/>
        </w:rPr>
      </w:pPr>
      <w:r>
        <w:rPr>
          <w:rFonts w:ascii="Times New Roman" w:hAnsi="Times New Roman"/>
          <w:b/>
          <w:shd w:fill="FFFFFF" w:val="clear"/>
        </w:rPr>
      </w:r>
    </w:p>
    <w:p>
      <w:pPr>
        <w:pStyle w:val="Normal"/>
        <w:spacing w:lineRule="auto" w:line="240" w:before="0" w:after="0"/>
        <w:ind w:left="426" w:hanging="426"/>
        <w:rPr>
          <w:shd w:fill="FFFFFF" w:val="clear"/>
        </w:rPr>
      </w:pPr>
      <w:r>
        <w:rPr>
          <w:rFonts w:ascii="Times New Roman" w:hAnsi="Times New Roman"/>
          <w:b/>
          <w:sz w:val="20"/>
          <w:szCs w:val="20"/>
          <w:shd w:fill="FFFFFF" w:val="clear"/>
        </w:rPr>
        <w:t>ОБРАЗЕЦ</w:t>
      </w:r>
    </w:p>
    <w:p>
      <w:pPr>
        <w:pStyle w:val="Normal"/>
        <w:spacing w:lineRule="auto" w:line="240" w:before="0" w:after="0"/>
        <w:ind w:left="5811" w:firstLine="720"/>
        <w:jc w:val="right"/>
        <w:rPr>
          <w:shd w:fill="FFFFFF" w:val="clear"/>
        </w:rPr>
      </w:pPr>
      <w:r>
        <w:rPr>
          <w:rFonts w:ascii="Times New Roman" w:hAnsi="Times New Roman"/>
          <w:shd w:fill="FFFFFF" w:val="clear"/>
        </w:rPr>
        <w:t xml:space="preserve"> </w:t>
      </w:r>
      <w:r>
        <w:rPr>
          <w:rFonts w:ascii="Times New Roman" w:hAnsi="Times New Roman"/>
          <w:sz w:val="20"/>
          <w:szCs w:val="20"/>
          <w:shd w:fill="FFFFFF" w:val="clear"/>
        </w:rPr>
        <w:t xml:space="preserve">Приложение №1.3 </w:t>
      </w:r>
    </w:p>
    <w:p>
      <w:pPr>
        <w:pStyle w:val="ConsPlusNormal1"/>
        <w:ind w:left="5811" w:firstLine="720"/>
        <w:rPr>
          <w:shd w:fill="FFFFFF" w:val="clear"/>
        </w:rPr>
      </w:pPr>
      <w:r>
        <w:rPr>
          <w:rFonts w:ascii="Times New Roman" w:hAnsi="Times New Roman"/>
          <w:shd w:fill="FFFFFF" w:val="clear"/>
        </w:rPr>
        <w:t xml:space="preserve"> </w:t>
      </w:r>
    </w:p>
    <w:p>
      <w:pPr>
        <w:pStyle w:val="ConsPlusNormal1"/>
        <w:ind w:left="5811" w:firstLine="720"/>
        <w:jc w:val="right"/>
        <w:rPr>
          <w:shd w:fill="FFFFFF" w:val="clear"/>
        </w:rPr>
      </w:pPr>
      <w:r>
        <w:rPr>
          <w:rFonts w:ascii="Times New Roman" w:hAnsi="Times New Roman"/>
          <w:shd w:fill="FFFFFF" w:val="clear"/>
        </w:rPr>
        <w:t xml:space="preserve"> </w:t>
      </w:r>
      <w:r>
        <w:rPr>
          <w:rFonts w:ascii="Times New Roman" w:hAnsi="Times New Roman"/>
          <w:shd w:fill="FFFFFF" w:val="clear"/>
        </w:rPr>
        <w:t xml:space="preserve">к Требованиям к оформлению и составлению               </w:t>
      </w:r>
    </w:p>
    <w:p>
      <w:pPr>
        <w:pStyle w:val="ConsPlusNormal1"/>
        <w:ind w:left="5811" w:firstLine="720"/>
        <w:jc w:val="right"/>
        <w:rPr>
          <w:shd w:fill="FFFFFF" w:val="clear"/>
        </w:rPr>
      </w:pPr>
      <w:r>
        <w:rPr>
          <w:rFonts w:ascii="Times New Roman" w:hAnsi="Times New Roman"/>
          <w:shd w:fill="FFFFFF" w:val="clear"/>
        </w:rPr>
        <w:t xml:space="preserve">сметной документации на выполнение работ </w:t>
      </w:r>
    </w:p>
    <w:p>
      <w:pPr>
        <w:pStyle w:val="ConsPlusNormal1"/>
        <w:ind w:left="5811" w:firstLine="720"/>
        <w:jc w:val="right"/>
        <w:rPr>
          <w:shd w:fill="FFFFFF" w:val="clear"/>
        </w:rPr>
      </w:pPr>
      <w:r>
        <w:rPr>
          <w:rFonts w:ascii="Times New Roman" w:hAnsi="Times New Roman"/>
          <w:shd w:fill="FFFFFF" w:val="clear"/>
        </w:rPr>
        <w:t xml:space="preserve"> </w:t>
      </w:r>
    </w:p>
    <w:p>
      <w:pPr>
        <w:pStyle w:val="ConsPlusNormal1"/>
        <w:ind w:left="5811" w:firstLine="720"/>
        <w:jc w:val="right"/>
        <w:rPr>
          <w:shd w:fill="FFFFFF" w:val="clear"/>
        </w:rPr>
      </w:pPr>
      <w:r>
        <w:rPr>
          <w:rFonts w:ascii="Times New Roman" w:hAnsi="Times New Roman"/>
          <w:shd w:fill="FFFFFF" w:val="clear"/>
        </w:rPr>
        <w:t xml:space="preserve"> </w:t>
      </w:r>
      <w:r>
        <w:rPr>
          <w:rFonts w:ascii="Times New Roman" w:hAnsi="Times New Roman"/>
          <w:shd w:fill="FFFFFF" w:val="clear"/>
        </w:rPr>
        <w:t xml:space="preserve">по программе ремонтов, реконструкции </w:t>
      </w:r>
    </w:p>
    <w:p>
      <w:pPr>
        <w:pStyle w:val="ConsPlusNormal1"/>
        <w:ind w:left="5811" w:firstLine="720"/>
        <w:jc w:val="right"/>
        <w:rPr>
          <w:shd w:fill="FFFFFF" w:val="clear"/>
        </w:rPr>
      </w:pPr>
      <w:r>
        <w:rPr>
          <w:rFonts w:ascii="Times New Roman" w:hAnsi="Times New Roman"/>
          <w:shd w:fill="FFFFFF" w:val="clear"/>
        </w:rPr>
        <w:t xml:space="preserve">и техническому перевооружению </w:t>
      </w:r>
    </w:p>
    <w:p>
      <w:pPr>
        <w:pStyle w:val="ConsPlusNormal1"/>
        <w:ind w:left="5811" w:firstLine="720"/>
        <w:jc w:val="right"/>
        <w:rPr>
          <w:rFonts w:ascii="Times New Roman" w:hAnsi="Times New Roman"/>
          <w:shd w:fill="FFFFFF" w:val="clear"/>
        </w:rPr>
      </w:pPr>
      <w:r>
        <w:rPr>
          <w:rFonts w:ascii="Times New Roman" w:hAnsi="Times New Roman"/>
          <w:shd w:fill="FFFFFF" w:val="clear"/>
        </w:rPr>
      </w:r>
    </w:p>
    <w:p>
      <w:pPr>
        <w:pStyle w:val="ConsPlusNormal1"/>
        <w:ind w:left="5811" w:firstLine="720"/>
        <w:jc w:val="right"/>
        <w:rPr>
          <w:shd w:fill="FFFFFF" w:val="clear"/>
        </w:rPr>
      </w:pPr>
      <w:r>
        <w:rPr>
          <w:rFonts w:ascii="Times New Roman" w:hAnsi="Times New Roman"/>
          <w:shd w:fill="FFFFFF" w:val="clear"/>
        </w:rPr>
        <w:t>Приложение №___</w:t>
      </w:r>
    </w:p>
    <w:p>
      <w:pPr>
        <w:pStyle w:val="ConsPlusNormal1"/>
        <w:ind w:left="5811" w:firstLine="720"/>
        <w:jc w:val="right"/>
        <w:rPr>
          <w:shd w:fill="FFFFFF" w:val="clear"/>
        </w:rPr>
      </w:pPr>
      <w:r>
        <w:rPr>
          <w:rFonts w:ascii="Times New Roman" w:hAnsi="Times New Roman"/>
          <w:shd w:fill="FFFFFF" w:val="clear"/>
        </w:rPr>
        <w:t>к дополнительному соглашению от ___ № ___</w:t>
      </w:r>
    </w:p>
    <w:p>
      <w:pPr>
        <w:pStyle w:val="ConsPlusNormal1"/>
        <w:ind w:left="5811" w:firstLine="720"/>
        <w:jc w:val="center"/>
        <w:rPr>
          <w:shd w:fill="FFFFFF" w:val="clear"/>
        </w:rPr>
      </w:pPr>
      <w:r>
        <w:rPr>
          <w:rFonts w:ascii="Times New Roman" w:hAnsi="Times New Roman"/>
          <w:shd w:fill="FFFFFF" w:val="clear"/>
        </w:rPr>
        <w:t xml:space="preserve">                                   </w:t>
      </w:r>
      <w:r>
        <w:rPr>
          <w:rFonts w:ascii="Times New Roman" w:hAnsi="Times New Roman"/>
          <w:shd w:fill="FFFFFF" w:val="clear"/>
        </w:rPr>
        <w:t xml:space="preserve">к договору от_______№_____ </w:t>
      </w:r>
    </w:p>
    <w:p>
      <w:pPr>
        <w:pStyle w:val="ConsPlusNormal1"/>
        <w:jc w:val="center"/>
        <w:rPr>
          <w:rFonts w:ascii="Times New Roman" w:hAnsi="Times New Roman"/>
          <w:shd w:fill="FFFFFF" w:val="clear"/>
        </w:rPr>
      </w:pPr>
      <w:r>
        <w:rPr>
          <w:rFonts w:ascii="Times New Roman" w:hAnsi="Times New Roman"/>
          <w:shd w:fill="FFFFFF" w:val="clear"/>
        </w:rPr>
      </w:r>
    </w:p>
    <w:p>
      <w:pPr>
        <w:pStyle w:val="Normal"/>
        <w:widowControl w:val="false"/>
        <w:spacing w:lineRule="auto" w:line="240" w:before="0" w:after="0"/>
        <w:jc w:val="center"/>
        <w:rPr>
          <w:shd w:fill="FFFFFF" w:val="clear"/>
        </w:rPr>
      </w:pPr>
      <w:r>
        <w:rPr>
          <w:rFonts w:ascii="Times New Roman" w:hAnsi="Times New Roman"/>
          <w:b/>
          <w:sz w:val="20"/>
          <w:szCs w:val="20"/>
          <w:shd w:fill="FFFFFF" w:val="clear"/>
        </w:rPr>
        <w:t>Сопоставительная ведомость изменения сметной стоимости</w:t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/>
          <w:b/>
          <w:sz w:val="20"/>
          <w:szCs w:val="20"/>
          <w:shd w:fill="FFFFFF" w:val="clear"/>
        </w:rPr>
      </w:pPr>
      <w:r>
        <w:rPr>
          <w:rFonts w:ascii="Times New Roman" w:hAnsi="Times New Roman"/>
          <w:b/>
          <w:sz w:val="20"/>
          <w:szCs w:val="20"/>
          <w:shd w:fill="FFFFFF" w:val="clear"/>
        </w:rPr>
      </w:r>
    </w:p>
    <w:tbl>
      <w:tblPr>
        <w:tblW w:w="10206" w:type="dxa"/>
        <w:jc w:val="left"/>
        <w:tblInd w:w="48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noVBand="0" w:noHBand="0" w:lastColumn="0" w:firstColumn="0" w:lastRow="0" w:firstRow="0"/>
      </w:tblPr>
      <w:tblGrid>
        <w:gridCol w:w="424"/>
        <w:gridCol w:w="851"/>
        <w:gridCol w:w="850"/>
        <w:gridCol w:w="1280"/>
        <w:gridCol w:w="1278"/>
        <w:gridCol w:w="1698"/>
        <w:gridCol w:w="1716"/>
        <w:gridCol w:w="2107"/>
      </w:tblGrid>
      <w:tr>
        <w:trPr>
          <w:trHeight w:val="433" w:hRule="atLeast"/>
        </w:trPr>
        <w:tc>
          <w:tcPr>
            <w:tcW w:w="4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hd w:fill="FFFFFF" w:val="clear"/>
              </w:rPr>
            </w:pPr>
            <w:r>
              <w:rPr>
                <w:rFonts w:ascii="Times New Roman" w:hAnsi="Times New Roman"/>
                <w:sz w:val="18"/>
                <w:szCs w:val="18"/>
                <w:shd w:fill="FFFFFF" w:val="clear"/>
              </w:rPr>
              <w:t xml:space="preserve">№ </w:t>
            </w:r>
            <w:r>
              <w:rPr>
                <w:rFonts w:ascii="Times New Roman" w:hAnsi="Times New Roman"/>
                <w:sz w:val="18"/>
                <w:szCs w:val="18"/>
                <w:shd w:fill="FFFFFF" w:val="clear"/>
              </w:rPr>
              <w:t>п/п</w:t>
            </w:r>
          </w:p>
        </w:tc>
        <w:tc>
          <w:tcPr>
            <w:tcW w:w="29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hd w:fill="FFFFFF" w:val="clear"/>
              </w:rPr>
            </w:pPr>
            <w:r>
              <w:rPr>
                <w:rFonts w:ascii="Times New Roman" w:hAnsi="Times New Roman"/>
                <w:sz w:val="18"/>
                <w:szCs w:val="18"/>
                <w:shd w:fill="FFFFFF" w:val="clear"/>
              </w:rPr>
              <w:t>Данные сметного расчета (сметы)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hd w:fill="FFFFFF" w:val="clear"/>
              </w:rPr>
            </w:pPr>
            <w:r>
              <w:rPr>
                <w:rFonts w:ascii="Times New Roman" w:hAnsi="Times New Roman"/>
                <w:sz w:val="18"/>
                <w:szCs w:val="18"/>
                <w:shd w:fill="FFFFFF" w:val="clear"/>
              </w:rPr>
              <w:t>Сметная стоимость, тыс. руб.</w:t>
            </w:r>
          </w:p>
        </w:tc>
        <w:tc>
          <w:tcPr>
            <w:tcW w:w="17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hd w:fill="FFFFFF" w:val="clear"/>
              </w:rPr>
            </w:pPr>
            <w:r>
              <w:rPr>
                <w:rFonts w:ascii="Times New Roman" w:hAnsi="Times New Roman"/>
                <w:sz w:val="18"/>
                <w:szCs w:val="18"/>
                <w:shd w:fill="FFFFFF" w:val="clear"/>
              </w:rPr>
              <w:t>Разница в сметной стоимости, руб.</w:t>
            </w:r>
          </w:p>
        </w:tc>
        <w:tc>
          <w:tcPr>
            <w:tcW w:w="21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hd w:fill="FFFFFF" w:val="clear"/>
              </w:rPr>
            </w:pPr>
            <w:r>
              <w:rPr>
                <w:rFonts w:ascii="Times New Roman" w:hAnsi="Times New Roman"/>
                <w:sz w:val="18"/>
                <w:szCs w:val="18"/>
                <w:shd w:fill="FFFFFF" w:val="clear"/>
              </w:rPr>
              <w:t>Обоснование изменений сметной стоимости</w:t>
            </w:r>
          </w:p>
        </w:tc>
      </w:tr>
      <w:tr>
        <w:trPr/>
        <w:tc>
          <w:tcPr>
            <w:tcW w:w="42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59" w:before="0" w:after="160"/>
              <w:rPr>
                <w:rFonts w:ascii="Times New Roman" w:hAnsi="Times New Roman" w:eastAsia="Calibri"/>
                <w:sz w:val="18"/>
                <w:szCs w:val="18"/>
                <w:shd w:fill="FFFFFF" w:val="clear"/>
                <w:lang w:eastAsia="en-US"/>
              </w:rPr>
            </w:pPr>
            <w:r>
              <w:rPr>
                <w:rFonts w:eastAsia="Calibri" w:ascii="Times New Roman" w:hAnsi="Times New Roman"/>
                <w:sz w:val="18"/>
                <w:szCs w:val="18"/>
                <w:shd w:fill="FFFFFF" w:val="clear"/>
                <w:lang w:eastAsia="en-US"/>
              </w:rPr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hd w:fill="FFFFFF" w:val="clear"/>
              </w:rPr>
            </w:pPr>
            <w:r>
              <w:rPr>
                <w:rFonts w:ascii="Times New Roman" w:hAnsi="Times New Roman"/>
                <w:sz w:val="18"/>
                <w:szCs w:val="18"/>
                <w:shd w:fill="FFFFFF" w:val="clear"/>
              </w:rPr>
              <w:t>шифр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hd w:fill="FFFFFF" w:val="clear"/>
              </w:rPr>
            </w:pPr>
            <w:r>
              <w:rPr>
                <w:rFonts w:ascii="Times New Roman" w:hAnsi="Times New Roman"/>
                <w:sz w:val="18"/>
                <w:szCs w:val="18"/>
                <w:shd w:fill="FFFFFF" w:val="clear"/>
              </w:rPr>
              <w:t>наименование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hd w:fill="FFFFFF" w:val="clear"/>
              </w:rPr>
            </w:pPr>
            <w:r>
              <w:rPr>
                <w:rFonts w:ascii="Times New Roman" w:hAnsi="Times New Roman"/>
                <w:sz w:val="18"/>
                <w:szCs w:val="18"/>
                <w:shd w:fill="FFFFFF" w:val="clear"/>
              </w:rPr>
              <w:t xml:space="preserve">№ </w:t>
            </w:r>
            <w:r>
              <w:rPr>
                <w:rFonts w:ascii="Times New Roman" w:hAnsi="Times New Roman"/>
                <w:sz w:val="18"/>
                <w:szCs w:val="18"/>
                <w:shd w:fill="FFFFFF" w:val="clear"/>
              </w:rPr>
              <w:t>позиции сметного расчета (сметы) в ССР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hd w:fill="FFFFFF" w:val="clear"/>
              </w:rPr>
            </w:pPr>
            <w:r>
              <w:rPr>
                <w:rFonts w:ascii="Times New Roman" w:hAnsi="Times New Roman"/>
                <w:sz w:val="18"/>
                <w:szCs w:val="18"/>
                <w:shd w:fill="FFFFFF" w:val="clear"/>
              </w:rPr>
              <w:t>подлежащая включению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hd w:fill="FFFFFF" w:val="clear"/>
              </w:rPr>
            </w:pPr>
            <w:r>
              <w:rPr>
                <w:rFonts w:ascii="Times New Roman" w:hAnsi="Times New Roman"/>
                <w:sz w:val="18"/>
                <w:szCs w:val="18"/>
                <w:shd w:fill="FFFFFF" w:val="clear"/>
              </w:rPr>
              <w:t>подлежащая исключению</w:t>
            </w:r>
          </w:p>
        </w:tc>
        <w:tc>
          <w:tcPr>
            <w:tcW w:w="17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59" w:before="0" w:after="160"/>
              <w:rPr>
                <w:rFonts w:ascii="Times New Roman" w:hAnsi="Times New Roman" w:eastAsia="Calibri"/>
                <w:sz w:val="18"/>
                <w:szCs w:val="18"/>
                <w:shd w:fill="FFFFFF" w:val="clear"/>
                <w:lang w:eastAsia="en-US"/>
              </w:rPr>
            </w:pPr>
            <w:r>
              <w:rPr>
                <w:rFonts w:eastAsia="Calibri" w:ascii="Times New Roman" w:hAnsi="Times New Roman"/>
                <w:sz w:val="18"/>
                <w:szCs w:val="18"/>
                <w:shd w:fill="FFFFFF" w:val="clear"/>
                <w:lang w:eastAsia="en-US"/>
              </w:rPr>
            </w:r>
          </w:p>
        </w:tc>
        <w:tc>
          <w:tcPr>
            <w:tcW w:w="210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59" w:before="0" w:after="160"/>
              <w:rPr>
                <w:rFonts w:ascii="Times New Roman" w:hAnsi="Times New Roman" w:eastAsia="Calibri"/>
                <w:sz w:val="18"/>
                <w:szCs w:val="18"/>
                <w:shd w:fill="FFFFFF" w:val="clear"/>
                <w:lang w:eastAsia="en-US"/>
              </w:rPr>
            </w:pPr>
            <w:r>
              <w:rPr>
                <w:rFonts w:eastAsia="Calibri" w:ascii="Times New Roman" w:hAnsi="Times New Roman"/>
                <w:sz w:val="18"/>
                <w:szCs w:val="18"/>
                <w:shd w:fill="FFFFFF" w:val="clear"/>
                <w:lang w:eastAsia="en-US"/>
              </w:rPr>
            </w:r>
          </w:p>
        </w:tc>
      </w:tr>
      <w:tr>
        <w:trPr/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hd w:fill="FFFFFF" w:val="clear"/>
              </w:rPr>
            </w:pPr>
            <w:r>
              <w:rPr>
                <w:rFonts w:ascii="Times New Roman" w:hAnsi="Times New Roman"/>
                <w:sz w:val="18"/>
                <w:szCs w:val="18"/>
                <w:shd w:fill="FFFFFF" w:val="clear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hd w:fill="FFFFFF" w:val="clear"/>
              </w:rPr>
            </w:pPr>
            <w:r>
              <w:rPr>
                <w:rFonts w:ascii="Times New Roman" w:hAnsi="Times New Roman"/>
                <w:sz w:val="18"/>
                <w:szCs w:val="18"/>
                <w:shd w:fill="FFFFFF" w:val="clear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hd w:fill="FFFFFF" w:val="clear"/>
              </w:rPr>
            </w:pPr>
            <w:r>
              <w:rPr>
                <w:rFonts w:ascii="Times New Roman" w:hAnsi="Times New Roman"/>
                <w:sz w:val="18"/>
                <w:szCs w:val="18"/>
                <w:shd w:fill="FFFFFF" w:val="clear"/>
              </w:rPr>
              <w:t>3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hd w:fill="FFFFFF" w:val="clear"/>
              </w:rPr>
            </w:pPr>
            <w:r>
              <w:rPr>
                <w:rFonts w:ascii="Times New Roman" w:hAnsi="Times New Roman"/>
                <w:sz w:val="18"/>
                <w:szCs w:val="18"/>
                <w:shd w:fill="FFFFFF" w:val="clear"/>
              </w:rPr>
              <w:t>4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hd w:fill="FFFFFF" w:val="clear"/>
              </w:rPr>
            </w:pPr>
            <w:r>
              <w:rPr>
                <w:rFonts w:ascii="Times New Roman" w:hAnsi="Times New Roman"/>
                <w:sz w:val="18"/>
                <w:szCs w:val="18"/>
                <w:shd w:fill="FFFFFF" w:val="clear"/>
              </w:rPr>
              <w:t>5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hd w:fill="FFFFFF" w:val="clear"/>
              </w:rPr>
            </w:pPr>
            <w:r>
              <w:rPr>
                <w:rFonts w:ascii="Times New Roman" w:hAnsi="Times New Roman"/>
                <w:sz w:val="18"/>
                <w:szCs w:val="18"/>
                <w:shd w:fill="FFFFFF" w:val="clear"/>
              </w:rPr>
              <w:t>6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hd w:fill="FFFFFF" w:val="clear"/>
              </w:rPr>
            </w:pPr>
            <w:r>
              <w:rPr>
                <w:rFonts w:ascii="Times New Roman" w:hAnsi="Times New Roman"/>
                <w:sz w:val="18"/>
                <w:szCs w:val="18"/>
                <w:shd w:fill="FFFFFF" w:val="clear"/>
              </w:rPr>
              <w:t>7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hd w:fill="FFFFFF" w:val="clear"/>
              </w:rPr>
            </w:pPr>
            <w:r>
              <w:rPr>
                <w:rFonts w:ascii="Times New Roman" w:hAnsi="Times New Roman"/>
                <w:sz w:val="18"/>
                <w:szCs w:val="18"/>
                <w:shd w:fill="FFFFFF" w:val="clear"/>
              </w:rPr>
              <w:t>8</w:t>
            </w:r>
          </w:p>
        </w:tc>
      </w:tr>
      <w:tr>
        <w:trPr/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  <w:shd w:fill="FFFFFF" w:val="clear"/>
              </w:rPr>
            </w:pPr>
            <w:r>
              <w:rPr>
                <w:rFonts w:ascii="Times New Roman" w:hAnsi="Times New Roman"/>
                <w:sz w:val="18"/>
                <w:szCs w:val="18"/>
                <w:shd w:fill="FFFFFF" w:val="clear"/>
              </w:rPr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  <w:shd w:fill="FFFFFF" w:val="clear"/>
              </w:rPr>
            </w:pPr>
            <w:r>
              <w:rPr>
                <w:rFonts w:ascii="Times New Roman" w:hAnsi="Times New Roman"/>
                <w:sz w:val="18"/>
                <w:szCs w:val="18"/>
                <w:shd w:fill="FFFFFF" w:val="clear"/>
              </w:rPr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  <w:shd w:fill="FFFFFF" w:val="clear"/>
              </w:rPr>
            </w:pPr>
            <w:r>
              <w:rPr>
                <w:rFonts w:ascii="Times New Roman" w:hAnsi="Times New Roman"/>
                <w:sz w:val="18"/>
                <w:szCs w:val="18"/>
                <w:shd w:fill="FFFFFF" w:val="clear"/>
              </w:rPr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  <w:shd w:fill="FFFFFF" w:val="clear"/>
              </w:rPr>
            </w:pPr>
            <w:r>
              <w:rPr>
                <w:rFonts w:ascii="Times New Roman" w:hAnsi="Times New Roman"/>
                <w:sz w:val="18"/>
                <w:szCs w:val="18"/>
                <w:shd w:fill="FFFFFF" w:val="clear"/>
              </w:rPr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  <w:shd w:fill="FFFFFF" w:val="clear"/>
              </w:rPr>
            </w:pPr>
            <w:r>
              <w:rPr>
                <w:rFonts w:ascii="Times New Roman" w:hAnsi="Times New Roman"/>
                <w:sz w:val="18"/>
                <w:szCs w:val="18"/>
                <w:shd w:fill="FFFFFF" w:val="clear"/>
              </w:rPr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  <w:shd w:fill="FFFFFF" w:val="clear"/>
              </w:rPr>
            </w:pPr>
            <w:r>
              <w:rPr>
                <w:rFonts w:ascii="Times New Roman" w:hAnsi="Times New Roman"/>
                <w:sz w:val="18"/>
                <w:szCs w:val="18"/>
                <w:shd w:fill="FFFFFF" w:val="clear"/>
              </w:rPr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  <w:shd w:fill="FFFFFF" w:val="clear"/>
              </w:rPr>
            </w:pPr>
            <w:r>
              <w:rPr>
                <w:rFonts w:ascii="Times New Roman" w:hAnsi="Times New Roman"/>
                <w:sz w:val="18"/>
                <w:szCs w:val="18"/>
                <w:shd w:fill="FFFFFF" w:val="clear"/>
              </w:rPr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  <w:shd w:fill="FFFFFF" w:val="clear"/>
              </w:rPr>
            </w:pPr>
            <w:r>
              <w:rPr>
                <w:rFonts w:ascii="Times New Roman" w:hAnsi="Times New Roman"/>
                <w:sz w:val="18"/>
                <w:szCs w:val="18"/>
                <w:shd w:fill="FFFFFF" w:val="clear"/>
              </w:rPr>
            </w:r>
          </w:p>
        </w:tc>
      </w:tr>
    </w:tbl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/>
          <w:sz w:val="20"/>
          <w:szCs w:val="20"/>
          <w:shd w:fill="FFFFFF" w:val="clear"/>
        </w:rPr>
      </w:pPr>
      <w:r>
        <w:rPr>
          <w:rFonts w:ascii="Times New Roman" w:hAnsi="Times New Roman"/>
          <w:sz w:val="20"/>
          <w:szCs w:val="20"/>
          <w:shd w:fill="FFFFFF" w:val="clear"/>
        </w:rPr>
      </w:r>
    </w:p>
    <w:p>
      <w:pPr>
        <w:pStyle w:val="Normal"/>
        <w:spacing w:lineRule="auto" w:line="240" w:before="0" w:after="0"/>
        <w:ind w:left="357" w:firstLine="720"/>
        <w:jc w:val="right"/>
        <w:rPr>
          <w:rFonts w:ascii="Times New Roman" w:hAnsi="Times New Roman"/>
          <w:sz w:val="20"/>
          <w:szCs w:val="20"/>
          <w:shd w:fill="FFFFFF" w:val="clear"/>
        </w:rPr>
      </w:pPr>
      <w:r>
        <w:rPr>
          <w:rFonts w:ascii="Times New Roman" w:hAnsi="Times New Roman"/>
          <w:sz w:val="20"/>
          <w:szCs w:val="20"/>
          <w:shd w:fill="FFFFFF" w:val="clear"/>
        </w:rPr>
      </w:r>
      <w:r>
        <w:br w:type="page"/>
      </w:r>
    </w:p>
    <w:p>
      <w:pPr>
        <w:pStyle w:val="Normal"/>
        <w:spacing w:lineRule="auto" w:line="240" w:before="0" w:after="0"/>
        <w:ind w:left="357" w:firstLine="720"/>
        <w:jc w:val="right"/>
        <w:rPr>
          <w:shd w:fill="FFFFFF" w:val="clear"/>
        </w:rPr>
      </w:pPr>
      <w:r>
        <w:rPr>
          <w:rFonts w:ascii="Times New Roman" w:hAnsi="Times New Roman"/>
          <w:sz w:val="20"/>
          <w:szCs w:val="20"/>
          <w:shd w:fill="FFFFFF" w:val="clear"/>
        </w:rPr>
        <w:t xml:space="preserve">Приложение №1.4 </w:t>
      </w:r>
    </w:p>
    <w:p>
      <w:pPr>
        <w:pStyle w:val="ConsPlusNormal1"/>
        <w:ind w:left="5811" w:firstLine="720"/>
        <w:jc w:val="right"/>
        <w:rPr>
          <w:shd w:fill="FFFFFF" w:val="clear"/>
        </w:rPr>
      </w:pPr>
      <w:r>
        <w:rPr>
          <w:rFonts w:ascii="Times New Roman" w:hAnsi="Times New Roman"/>
          <w:shd w:fill="FFFFFF" w:val="clear"/>
        </w:rPr>
        <w:t xml:space="preserve">Требованиям к оформлению и составлению </w:t>
      </w:r>
    </w:p>
    <w:p>
      <w:pPr>
        <w:pStyle w:val="ConsPlusNormal1"/>
        <w:ind w:left="5811" w:firstLine="720"/>
        <w:jc w:val="right"/>
        <w:rPr>
          <w:shd w:fill="FFFFFF" w:val="clear"/>
        </w:rPr>
      </w:pPr>
      <w:r>
        <w:rPr>
          <w:rFonts w:ascii="Times New Roman" w:hAnsi="Times New Roman"/>
          <w:shd w:fill="FFFFFF" w:val="clear"/>
        </w:rPr>
        <w:t xml:space="preserve">сметной документации на выполнение работ </w:t>
      </w:r>
    </w:p>
    <w:p>
      <w:pPr>
        <w:pStyle w:val="ConsPlusNormal1"/>
        <w:ind w:left="5811" w:firstLine="720"/>
        <w:jc w:val="right"/>
        <w:rPr>
          <w:shd w:fill="FFFFFF" w:val="clear"/>
        </w:rPr>
      </w:pPr>
      <w:r>
        <w:rPr>
          <w:rFonts w:ascii="Times New Roman" w:hAnsi="Times New Roman"/>
          <w:shd w:fill="FFFFFF" w:val="clear"/>
        </w:rPr>
        <w:t xml:space="preserve"> </w:t>
      </w:r>
    </w:p>
    <w:p>
      <w:pPr>
        <w:pStyle w:val="ConsPlusNormal1"/>
        <w:ind w:left="5811" w:firstLine="720"/>
        <w:jc w:val="right"/>
        <w:rPr>
          <w:shd w:fill="FFFFFF" w:val="clear"/>
        </w:rPr>
      </w:pPr>
      <w:r>
        <w:rPr>
          <w:rFonts w:ascii="Times New Roman" w:hAnsi="Times New Roman"/>
          <w:shd w:fill="FFFFFF" w:val="clear"/>
        </w:rPr>
        <w:t xml:space="preserve"> </w:t>
      </w:r>
      <w:r>
        <w:rPr>
          <w:rFonts w:ascii="Times New Roman" w:hAnsi="Times New Roman"/>
          <w:shd w:fill="FFFFFF" w:val="clear"/>
        </w:rPr>
        <w:t xml:space="preserve">по программе ремонтов, реконструкции </w:t>
      </w:r>
    </w:p>
    <w:p>
      <w:pPr>
        <w:pStyle w:val="ConsPlusNormal1"/>
        <w:ind w:left="5811" w:firstLine="720"/>
        <w:jc w:val="right"/>
        <w:rPr>
          <w:shd w:fill="FFFFFF" w:val="clear"/>
        </w:rPr>
      </w:pPr>
      <w:r>
        <w:rPr>
          <w:rFonts w:ascii="Times New Roman" w:hAnsi="Times New Roman"/>
          <w:shd w:fill="FFFFFF" w:val="clear"/>
        </w:rPr>
        <w:t xml:space="preserve">и техническому перевооружению </w:t>
      </w:r>
    </w:p>
    <w:p>
      <w:pPr>
        <w:pStyle w:val="ConsPlusNormal1"/>
        <w:ind w:left="5811" w:firstLine="720"/>
        <w:jc w:val="right"/>
        <w:rPr>
          <w:rFonts w:ascii="Times New Roman" w:hAnsi="Times New Roman"/>
          <w:shd w:fill="FFFFFF" w:val="clear"/>
        </w:rPr>
      </w:pPr>
      <w:r>
        <w:rPr>
          <w:rFonts w:ascii="Times New Roman" w:hAnsi="Times New Roman"/>
          <w:shd w:fill="FFFFFF" w:val="clear"/>
        </w:rPr>
      </w:r>
    </w:p>
    <w:p>
      <w:pPr>
        <w:pStyle w:val="ConsPlusNormal1"/>
        <w:ind w:left="5811" w:firstLine="720"/>
        <w:jc w:val="right"/>
        <w:rPr>
          <w:shd w:fill="FFFFFF" w:val="clear"/>
        </w:rPr>
      </w:pPr>
      <w:r>
        <w:rPr>
          <w:rFonts w:ascii="Times New Roman" w:hAnsi="Times New Roman"/>
          <w:shd w:fill="FFFFFF" w:val="clear"/>
        </w:rPr>
        <w:t>Приложение №___</w:t>
      </w:r>
    </w:p>
    <w:p>
      <w:pPr>
        <w:pStyle w:val="ConsPlusNormal1"/>
        <w:ind w:left="5811" w:firstLine="720"/>
        <w:jc w:val="right"/>
        <w:rPr>
          <w:shd w:fill="FFFFFF" w:val="clear"/>
        </w:rPr>
      </w:pPr>
      <w:r>
        <w:rPr>
          <w:rFonts w:ascii="Times New Roman" w:hAnsi="Times New Roman"/>
          <w:shd w:fill="FFFFFF" w:val="clear"/>
        </w:rPr>
        <w:t>к дополнительному соглашению от ___ № ___</w:t>
      </w:r>
    </w:p>
    <w:p>
      <w:pPr>
        <w:pStyle w:val="ConsPlusNormal1"/>
        <w:ind w:left="5811" w:firstLine="720"/>
        <w:jc w:val="center"/>
        <w:rPr>
          <w:shd w:fill="FFFFFF" w:val="clear"/>
        </w:rPr>
      </w:pPr>
      <w:r>
        <w:rPr>
          <w:rFonts w:ascii="Times New Roman" w:hAnsi="Times New Roman"/>
          <w:shd w:fill="FFFFFF" w:val="clear"/>
        </w:rPr>
        <w:t xml:space="preserve">к договору от_______№_____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hd w:fill="FFFFFF" w:val="clear"/>
        </w:rPr>
      </w:pPr>
      <w:r>
        <w:rPr>
          <w:rFonts w:ascii="Times New Roman" w:hAnsi="Times New Roman"/>
          <w:shd w:fill="FFFFFF" w:val="clear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hd w:fill="FFFFFF" w:val="clear"/>
        </w:rPr>
      </w:pPr>
      <w:r>
        <w:rPr>
          <w:rFonts w:ascii="Times New Roman" w:hAnsi="Times New Roman"/>
          <w:shd w:fill="FFFFFF" w:val="clear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hd w:fill="FFFFFF" w:val="clear"/>
        </w:rPr>
      </w:pPr>
      <w:r>
        <w:rPr>
          <w:rFonts w:ascii="Times New Roman" w:hAnsi="Times New Roman"/>
          <w:shd w:fill="FFFFFF" w:val="clear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hd w:fill="FFFFFF" w:val="clear"/>
        </w:rPr>
      </w:pPr>
      <w:r>
        <w:rPr>
          <w:rFonts w:ascii="Times New Roman" w:hAnsi="Times New Roman"/>
          <w:shd w:fill="FFFFFF" w:val="clear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hd w:fill="FFFFFF" w:val="clear"/>
        </w:rPr>
      </w:pPr>
      <w:r>
        <w:rPr>
          <w:rFonts w:ascii="Times New Roman" w:hAnsi="Times New Roman"/>
          <w:shd w:fill="FFFFFF" w:val="clear"/>
        </w:rPr>
      </w:r>
    </w:p>
    <w:p>
      <w:pPr>
        <w:pStyle w:val="ConsPlusNormal1"/>
        <w:jc w:val="center"/>
        <w:rPr>
          <w:shd w:fill="FFFFFF" w:val="clear"/>
        </w:rPr>
      </w:pPr>
      <w:r>
        <w:rPr>
          <w:rFonts w:cs="Times New Roman" w:ascii="Times New Roman" w:hAnsi="Times New Roman"/>
          <w:b/>
          <w:shd w:fill="FFFFFF" w:val="clear"/>
        </w:rPr>
        <w:t>Сопоставительная ведомость объемов работ</w:t>
      </w:r>
    </w:p>
    <w:p>
      <w:pPr>
        <w:pStyle w:val="ConsPlusNormal1"/>
        <w:jc w:val="both"/>
        <w:rPr>
          <w:b/>
          <w:shd w:fill="FFFFFF" w:val="clear"/>
        </w:rPr>
      </w:pPr>
      <w:r>
        <w:rPr>
          <w:b/>
          <w:shd w:fill="FFFFFF" w:val="clear"/>
        </w:rPr>
      </w:r>
    </w:p>
    <w:tbl>
      <w:tblPr>
        <w:tblW w:w="10773" w:type="dxa"/>
        <w:jc w:val="left"/>
        <w:tblInd w:w="20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noVBand="0" w:noHBand="0" w:lastColumn="0" w:firstColumn="0" w:lastRow="0" w:firstRow="0"/>
      </w:tblPr>
      <w:tblGrid>
        <w:gridCol w:w="425"/>
        <w:gridCol w:w="710"/>
        <w:gridCol w:w="850"/>
        <w:gridCol w:w="1212"/>
        <w:gridCol w:w="912"/>
        <w:gridCol w:w="851"/>
        <w:gridCol w:w="856"/>
        <w:gridCol w:w="850"/>
        <w:gridCol w:w="851"/>
        <w:gridCol w:w="704"/>
        <w:gridCol w:w="567"/>
        <w:gridCol w:w="850"/>
        <w:gridCol w:w="1134"/>
      </w:tblGrid>
      <w:tr>
        <w:trPr>
          <w:trHeight w:val="880" w:hRule="atLeast"/>
        </w:trPr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left="-62" w:hanging="0"/>
              <w:jc w:val="center"/>
              <w:rPr>
                <w:shd w:fill="FFFFFF" w:val="clear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shd w:fill="FFFFFF" w:val="clear"/>
              </w:rPr>
              <w:t xml:space="preserve">№№ </w:t>
            </w:r>
            <w:r>
              <w:rPr>
                <w:rFonts w:cs="Times New Roman" w:ascii="Times New Roman" w:hAnsi="Times New Roman"/>
                <w:sz w:val="18"/>
                <w:szCs w:val="18"/>
                <w:shd w:fill="FFFFFF" w:val="clear"/>
              </w:rPr>
              <w:t>пп</w:t>
            </w:r>
          </w:p>
        </w:tc>
        <w:tc>
          <w:tcPr>
            <w:tcW w:w="36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shd w:fill="FFFFFF" w:val="clear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shd w:fill="FFFFFF" w:val="clear"/>
              </w:rPr>
              <w:t>Данные сметного расчета (сметы)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shd w:fill="FFFFFF" w:val="clear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shd w:fill="FFFFFF" w:val="clear"/>
              </w:rPr>
              <w:t>Наименование работ и затрат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63"/>
              <w:jc w:val="center"/>
              <w:rPr>
                <w:shd w:fill="FFFFFF" w:val="clear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shd w:fill="FFFFFF" w:val="clear"/>
              </w:rPr>
              <w:t>Ед. изм.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shd w:fill="FFFFFF" w:val="clear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shd w:fill="FFFFFF" w:val="clear"/>
              </w:rPr>
              <w:t>Объем работ в сметной документации</w:t>
            </w:r>
          </w:p>
        </w:tc>
        <w:tc>
          <w:tcPr>
            <w:tcW w:w="127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shd w:fill="FFFFFF" w:val="clear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shd w:fill="FFFFFF" w:val="clear"/>
              </w:rPr>
              <w:t>Изменение объемов работ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shd w:fill="FFFFFF" w:val="clear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shd w:fill="FFFFFF" w:val="clear"/>
              </w:rPr>
              <w:t>Обоснование изменений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left="1360" w:hanging="1416"/>
              <w:jc w:val="center"/>
              <w:rPr>
                <w:shd w:fill="FFFFFF" w:val="clear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shd w:fill="FFFFFF" w:val="clear"/>
              </w:rPr>
              <w:t>Примечание</w:t>
            </w:r>
          </w:p>
        </w:tc>
      </w:tr>
      <w:tr>
        <w:trPr>
          <w:trHeight w:val="62" w:hRule="atLeast"/>
        </w:trPr>
        <w:tc>
          <w:tcPr>
            <w:tcW w:w="42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  <w:shd w:fill="FFFFFF" w:val="clear"/>
              </w:rPr>
            </w:pPr>
            <w:r>
              <w:rPr>
                <w:rFonts w:ascii="Times New Roman" w:hAnsi="Times New Roman"/>
                <w:sz w:val="18"/>
                <w:szCs w:val="18"/>
                <w:shd w:fill="FFFFFF" w:val="clear"/>
              </w:rPr>
            </w:r>
          </w:p>
        </w:tc>
        <w:tc>
          <w:tcPr>
            <w:tcW w:w="7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left="-797" w:firstLine="720"/>
              <w:jc w:val="center"/>
              <w:rPr>
                <w:shd w:fill="FFFFFF" w:val="clear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shd w:fill="FFFFFF" w:val="clear"/>
              </w:rPr>
              <w:t>шифр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left="-64" w:hanging="0"/>
              <w:jc w:val="center"/>
              <w:rPr>
                <w:shd w:fill="FFFFFF" w:val="clear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shd w:fill="FFFFFF" w:val="clear"/>
              </w:rPr>
              <w:t>Наименование</w:t>
            </w:r>
          </w:p>
        </w:tc>
        <w:tc>
          <w:tcPr>
            <w:tcW w:w="21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shd w:fill="FFFFFF" w:val="clear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shd w:fill="FFFFFF" w:val="clear"/>
              </w:rPr>
              <w:t xml:space="preserve">№ </w:t>
            </w:r>
            <w:r>
              <w:rPr>
                <w:rFonts w:cs="Times New Roman" w:ascii="Times New Roman" w:hAnsi="Times New Roman"/>
                <w:sz w:val="18"/>
                <w:szCs w:val="18"/>
                <w:shd w:fill="FFFFFF" w:val="clear"/>
              </w:rPr>
              <w:t>позиции в сметном расчете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  <w:shd w:fill="FFFFFF" w:val="clear"/>
              </w:rPr>
            </w:pPr>
            <w:r>
              <w:rPr>
                <w:rFonts w:ascii="Times New Roman" w:hAnsi="Times New Roman"/>
                <w:sz w:val="18"/>
                <w:szCs w:val="18"/>
                <w:shd w:fill="FFFFFF" w:val="clear"/>
              </w:rPr>
            </w:r>
          </w:p>
        </w:tc>
        <w:tc>
          <w:tcPr>
            <w:tcW w:w="8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  <w:shd w:fill="FFFFFF" w:val="clear"/>
              </w:rPr>
            </w:pPr>
            <w:r>
              <w:rPr>
                <w:rFonts w:ascii="Times New Roman" w:hAnsi="Times New Roman"/>
                <w:sz w:val="18"/>
                <w:szCs w:val="18"/>
                <w:shd w:fill="FFFFFF" w:val="clear"/>
              </w:rPr>
            </w:r>
          </w:p>
        </w:tc>
        <w:tc>
          <w:tcPr>
            <w:tcW w:w="1701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  <w:shd w:fill="FFFFFF" w:val="clear"/>
              </w:rPr>
            </w:pPr>
            <w:r>
              <w:rPr>
                <w:rFonts w:ascii="Times New Roman" w:hAnsi="Times New Roman"/>
                <w:sz w:val="18"/>
                <w:szCs w:val="18"/>
                <w:shd w:fill="FFFFFF" w:val="clear"/>
              </w:rPr>
            </w:r>
          </w:p>
        </w:tc>
        <w:tc>
          <w:tcPr>
            <w:tcW w:w="1271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  <w:shd w:fill="FFFFFF" w:val="clear"/>
              </w:rPr>
            </w:pPr>
            <w:r>
              <w:rPr>
                <w:rFonts w:ascii="Times New Roman" w:hAnsi="Times New Roman"/>
                <w:sz w:val="18"/>
                <w:szCs w:val="18"/>
                <w:shd w:fill="FFFFFF" w:val="clear"/>
              </w:rPr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  <w:shd w:fill="FFFFFF" w:val="clear"/>
              </w:rPr>
            </w:pPr>
            <w:r>
              <w:rPr>
                <w:rFonts w:ascii="Times New Roman" w:hAnsi="Times New Roman"/>
                <w:sz w:val="18"/>
                <w:szCs w:val="18"/>
                <w:shd w:fill="FFFFFF" w:val="clear"/>
              </w:rPr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  <w:shd w:fill="FFFFFF" w:val="clear"/>
              </w:rPr>
            </w:pPr>
            <w:r>
              <w:rPr>
                <w:rFonts w:ascii="Times New Roman" w:hAnsi="Times New Roman"/>
                <w:sz w:val="18"/>
                <w:szCs w:val="18"/>
                <w:shd w:fill="FFFFFF" w:val="clear"/>
              </w:rPr>
            </w:r>
          </w:p>
        </w:tc>
      </w:tr>
      <w:tr>
        <w:trPr>
          <w:trHeight w:val="1308" w:hRule="atLeast"/>
        </w:trPr>
        <w:tc>
          <w:tcPr>
            <w:tcW w:w="42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  <w:sz w:val="18"/>
                <w:szCs w:val="18"/>
                <w:shd w:fill="FFFFFF" w:val="clear"/>
              </w:rPr>
            </w:pPr>
            <w:r>
              <w:rPr>
                <w:rFonts w:ascii="Times New Roman" w:hAnsi="Times New Roman"/>
                <w:sz w:val="18"/>
                <w:szCs w:val="18"/>
                <w:shd w:fill="FFFFFF" w:val="clear"/>
              </w:rPr>
            </w:r>
          </w:p>
        </w:tc>
        <w:tc>
          <w:tcPr>
            <w:tcW w:w="71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  <w:sz w:val="18"/>
                <w:szCs w:val="18"/>
                <w:shd w:fill="FFFFFF" w:val="clear"/>
              </w:rPr>
            </w:pPr>
            <w:r>
              <w:rPr>
                <w:rFonts w:ascii="Times New Roman" w:hAnsi="Times New Roman"/>
                <w:sz w:val="18"/>
                <w:szCs w:val="18"/>
                <w:shd w:fill="FFFFFF" w:val="clear"/>
              </w:rPr>
            </w:r>
          </w:p>
        </w:tc>
        <w:tc>
          <w:tcPr>
            <w:tcW w:w="85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  <w:sz w:val="18"/>
                <w:szCs w:val="18"/>
                <w:shd w:fill="FFFFFF" w:val="clear"/>
              </w:rPr>
            </w:pPr>
            <w:r>
              <w:rPr>
                <w:rFonts w:ascii="Times New Roman" w:hAnsi="Times New Roman"/>
                <w:sz w:val="18"/>
                <w:szCs w:val="18"/>
                <w:shd w:fill="FFFFFF" w:val="clear"/>
              </w:rPr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rPr>
                <w:shd w:fill="FFFFFF" w:val="clear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shd w:fill="FFFFFF" w:val="clear"/>
              </w:rPr>
              <w:t>до изменений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rPr>
                <w:shd w:fill="FFFFFF" w:val="clear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shd w:fill="FFFFFF" w:val="clear"/>
              </w:rPr>
              <w:t>с учетом изменений</w:t>
            </w:r>
          </w:p>
        </w:tc>
        <w:tc>
          <w:tcPr>
            <w:tcW w:w="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  <w:shd w:fill="FFFFFF" w:val="clear"/>
              </w:rPr>
            </w:pPr>
            <w:r>
              <w:rPr>
                <w:rFonts w:ascii="Times New Roman" w:hAnsi="Times New Roman"/>
                <w:sz w:val="18"/>
                <w:szCs w:val="18"/>
                <w:shd w:fill="FFFFFF" w:val="clear"/>
              </w:rPr>
            </w:r>
          </w:p>
        </w:tc>
        <w:tc>
          <w:tcPr>
            <w:tcW w:w="85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  <w:shd w:fill="FFFFFF" w:val="clear"/>
              </w:rPr>
            </w:pPr>
            <w:r>
              <w:rPr>
                <w:rFonts w:ascii="Times New Roman" w:hAnsi="Times New Roman"/>
                <w:sz w:val="18"/>
                <w:szCs w:val="18"/>
                <w:shd w:fill="FFFFFF" w:val="clear"/>
              </w:rPr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firstLine="79"/>
              <w:rPr>
                <w:shd w:fill="FFFFFF" w:val="clear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shd w:fill="FFFFFF" w:val="clear"/>
              </w:rPr>
              <w:t>до изменений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rPr>
                <w:shd w:fill="FFFFFF" w:val="clear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shd w:fill="FFFFFF" w:val="clear"/>
              </w:rPr>
              <w:t>с учетом изменений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left="-800" w:firstLine="720"/>
              <w:jc w:val="center"/>
              <w:rPr>
                <w:shd w:fill="FFFFFF" w:val="clear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shd w:fill="FFFFFF" w:val="clear"/>
              </w:rPr>
              <w:t>увели</w:t>
            </w:r>
          </w:p>
          <w:p>
            <w:pPr>
              <w:pStyle w:val="ConsPlusNormal1"/>
              <w:widowControl w:val="false"/>
              <w:ind w:left="-800" w:firstLine="720"/>
              <w:jc w:val="center"/>
              <w:rPr>
                <w:shd w:fill="FFFFFF" w:val="clear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shd w:fill="FFFFFF" w:val="clear"/>
              </w:rPr>
              <w:t>чение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shd w:fill="FFFFFF" w:val="clear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shd w:fill="FFFFFF" w:val="clear"/>
              </w:rPr>
              <w:t>снижение</w:t>
            </w:r>
          </w:p>
        </w:tc>
        <w:tc>
          <w:tcPr>
            <w:tcW w:w="85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  <w:shd w:fill="FFFFFF" w:val="clear"/>
              </w:rPr>
            </w:pPr>
            <w:r>
              <w:rPr>
                <w:rFonts w:ascii="Times New Roman" w:hAnsi="Times New Roman"/>
                <w:sz w:val="18"/>
                <w:szCs w:val="18"/>
                <w:shd w:fill="FFFFFF" w:val="clear"/>
              </w:rPr>
            </w:r>
          </w:p>
        </w:tc>
        <w:tc>
          <w:tcPr>
            <w:tcW w:w="113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  <w:sz w:val="18"/>
                <w:szCs w:val="18"/>
                <w:shd w:fill="FFFFFF" w:val="clear"/>
              </w:rPr>
            </w:pPr>
            <w:r>
              <w:rPr>
                <w:rFonts w:ascii="Times New Roman" w:hAnsi="Times New Roman"/>
                <w:sz w:val="18"/>
                <w:szCs w:val="18"/>
                <w:shd w:fill="FFFFFF" w:val="clear"/>
              </w:rPr>
            </w:r>
          </w:p>
        </w:tc>
      </w:tr>
      <w:tr>
        <w:trPr>
          <w:trHeight w:val="232" w:hRule="atLeast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sz w:val="18"/>
                <w:szCs w:val="18"/>
                <w:shd w:fill="FFFFFF" w:val="clear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shd w:fill="FFFFFF" w:val="clear"/>
              </w:rPr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sz w:val="18"/>
                <w:szCs w:val="18"/>
                <w:shd w:fill="FFFFFF" w:val="clear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shd w:fill="FFFFFF" w:val="clear"/>
              </w:rPr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sz w:val="18"/>
                <w:szCs w:val="18"/>
                <w:shd w:fill="FFFFFF" w:val="clear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shd w:fill="FFFFFF" w:val="clear"/>
              </w:rPr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sz w:val="18"/>
                <w:szCs w:val="18"/>
                <w:shd w:fill="FFFFFF" w:val="clear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shd w:fill="FFFFFF" w:val="clear"/>
              </w:rPr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sz w:val="18"/>
                <w:szCs w:val="18"/>
                <w:shd w:fill="FFFFFF" w:val="clear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shd w:fill="FFFFFF" w:val="clear"/>
              </w:rPr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sz w:val="18"/>
                <w:szCs w:val="18"/>
                <w:shd w:fill="FFFFFF" w:val="clear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shd w:fill="FFFFFF" w:val="clear"/>
              </w:rPr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sz w:val="18"/>
                <w:szCs w:val="18"/>
                <w:shd w:fill="FFFFFF" w:val="clear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shd w:fill="FFFFFF" w:val="clear"/>
              </w:rPr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sz w:val="18"/>
                <w:szCs w:val="18"/>
                <w:shd w:fill="FFFFFF" w:val="clear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shd w:fill="FFFFFF" w:val="clear"/>
              </w:rPr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sz w:val="18"/>
                <w:szCs w:val="18"/>
                <w:shd w:fill="FFFFFF" w:val="clear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shd w:fill="FFFFFF" w:val="clear"/>
              </w:rPr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sz w:val="18"/>
                <w:szCs w:val="18"/>
                <w:shd w:fill="FFFFFF" w:val="clear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shd w:fill="FFFFFF" w:val="clear"/>
              </w:rPr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sz w:val="18"/>
                <w:szCs w:val="18"/>
                <w:shd w:fill="FFFFFF" w:val="clear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shd w:fill="FFFFFF" w:val="clear"/>
              </w:rPr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sz w:val="18"/>
                <w:szCs w:val="18"/>
                <w:shd w:fill="FFFFFF" w:val="clear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shd w:fill="FFFFFF" w:val="clear"/>
              </w:rPr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sz w:val="18"/>
                <w:szCs w:val="18"/>
                <w:shd w:fill="FFFFFF" w:val="clear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shd w:fill="FFFFFF" w:val="clear"/>
              </w:rPr>
            </w:r>
          </w:p>
        </w:tc>
      </w:tr>
    </w:tbl>
    <w:p>
      <w:pPr>
        <w:sectPr>
          <w:footnotePr>
            <w:numFmt w:val="decimal"/>
            <w:numRestart w:val="eachPage"/>
          </w:footnotePr>
          <w:type w:val="nextPage"/>
          <w:pgSz w:w="11906" w:h="16838"/>
          <w:pgMar w:left="426" w:right="924" w:gutter="0" w:header="0" w:top="284" w:footer="0" w:bottom="720"/>
          <w:pgNumType w:fmt="decimal"/>
          <w:formProt w:val="false"/>
          <w:textDirection w:val="lrTb"/>
          <w:docGrid w:type="default" w:linePitch="360" w:charSpace="20480"/>
        </w:sectPr>
      </w:pPr>
    </w:p>
    <w:p>
      <w:pPr>
        <w:pStyle w:val="ConsPlusNormal1"/>
        <w:jc w:val="both"/>
        <w:rPr>
          <w:shd w:fill="FFFFFF" w:val="clear"/>
        </w:rPr>
      </w:pPr>
      <w:r>
        <w:rPr>
          <w:shd w:fill="FFFFFF" w:val="clear"/>
        </w:rPr>
      </w:r>
    </w:p>
    <w:p>
      <w:pPr>
        <w:pStyle w:val="Normal"/>
        <w:spacing w:lineRule="auto" w:line="240" w:before="0" w:after="0"/>
        <w:ind w:left="5811" w:firstLine="720"/>
        <w:jc w:val="right"/>
        <w:rPr>
          <w:shd w:fill="FFFFFF" w:val="clear"/>
        </w:rPr>
      </w:pPr>
      <w:r>
        <w:rPr>
          <w:rFonts w:ascii="Times New Roman" w:hAnsi="Times New Roman"/>
          <w:color w:val="000000"/>
          <w:sz w:val="20"/>
          <w:szCs w:val="20"/>
          <w:shd w:fill="FFFFFF" w:val="clear"/>
        </w:rPr>
        <w:t xml:space="preserve">Приложение№1.5 </w:t>
      </w:r>
    </w:p>
    <w:p>
      <w:pPr>
        <w:pStyle w:val="Normal"/>
        <w:spacing w:lineRule="auto" w:line="240" w:before="0" w:after="0"/>
        <w:ind w:left="5811" w:firstLine="720"/>
        <w:jc w:val="right"/>
        <w:rPr>
          <w:shd w:fill="FFFFFF" w:val="clear"/>
        </w:rPr>
      </w:pPr>
      <w:r>
        <w:rPr>
          <w:rFonts w:ascii="Times New Roman" w:hAnsi="Times New Roman"/>
          <w:color w:val="000000"/>
          <w:sz w:val="20"/>
          <w:szCs w:val="20"/>
          <w:shd w:fill="FFFFFF" w:val="clear"/>
        </w:rPr>
        <w:t xml:space="preserve">                                                                                                                                                                                                </w:t>
      </w:r>
    </w:p>
    <w:p>
      <w:pPr>
        <w:pStyle w:val="ConsPlusNormal1"/>
        <w:ind w:left="5811" w:firstLine="720"/>
        <w:jc w:val="right"/>
        <w:rPr>
          <w:shd w:fill="FFFFFF" w:val="clear"/>
        </w:rPr>
      </w:pPr>
      <w:r>
        <w:rPr>
          <w:rFonts w:ascii="Times New Roman" w:hAnsi="Times New Roman"/>
          <w:shd w:fill="FFFFFF" w:val="clear"/>
        </w:rPr>
        <w:t xml:space="preserve">к Требованиям к оформлению и составлению               </w:t>
      </w:r>
    </w:p>
    <w:p>
      <w:pPr>
        <w:pStyle w:val="ConsPlusNormal1"/>
        <w:ind w:left="5811" w:firstLine="720"/>
        <w:jc w:val="right"/>
        <w:rPr>
          <w:shd w:fill="FFFFFF" w:val="clear"/>
        </w:rPr>
      </w:pPr>
      <w:r>
        <w:rPr>
          <w:rFonts w:ascii="Times New Roman" w:hAnsi="Times New Roman"/>
          <w:shd w:fill="FFFFFF" w:val="clear"/>
        </w:rPr>
        <w:t xml:space="preserve">сметной документации на выполнение работ </w:t>
      </w:r>
    </w:p>
    <w:p>
      <w:pPr>
        <w:pStyle w:val="ConsPlusNormal1"/>
        <w:ind w:left="5811" w:firstLine="720"/>
        <w:jc w:val="right"/>
        <w:rPr>
          <w:shd w:fill="FFFFFF" w:val="clear"/>
        </w:rPr>
      </w:pPr>
      <w:r>
        <w:rPr>
          <w:rFonts w:ascii="Times New Roman" w:hAnsi="Times New Roman"/>
          <w:shd w:fill="FFFFFF" w:val="clear"/>
        </w:rPr>
        <w:t xml:space="preserve"> </w:t>
      </w:r>
    </w:p>
    <w:p>
      <w:pPr>
        <w:pStyle w:val="ConsPlusNormal1"/>
        <w:ind w:left="5811" w:firstLine="720"/>
        <w:jc w:val="right"/>
        <w:rPr>
          <w:shd w:fill="FFFFFF" w:val="clear"/>
        </w:rPr>
      </w:pPr>
      <w:r>
        <w:rPr>
          <w:rFonts w:ascii="Times New Roman" w:hAnsi="Times New Roman"/>
          <w:shd w:fill="FFFFFF" w:val="clear"/>
        </w:rPr>
        <w:t xml:space="preserve"> </w:t>
      </w:r>
      <w:r>
        <w:rPr>
          <w:rFonts w:ascii="Times New Roman" w:hAnsi="Times New Roman"/>
          <w:shd w:fill="FFFFFF" w:val="clear"/>
        </w:rPr>
        <w:t xml:space="preserve">по программе ремонтов, реконструкции </w:t>
      </w:r>
    </w:p>
    <w:p>
      <w:pPr>
        <w:pStyle w:val="ConsPlusNormal1"/>
        <w:ind w:left="5811" w:firstLine="720"/>
        <w:jc w:val="right"/>
        <w:rPr>
          <w:shd w:fill="FFFFFF" w:val="clear"/>
        </w:rPr>
      </w:pPr>
      <w:r>
        <w:rPr>
          <w:rFonts w:ascii="Times New Roman" w:hAnsi="Times New Roman"/>
          <w:shd w:fill="FFFFFF" w:val="clear"/>
        </w:rPr>
        <w:t xml:space="preserve">и техническому перевооружению </w:t>
      </w:r>
    </w:p>
    <w:p>
      <w:pPr>
        <w:pStyle w:val="Normal"/>
        <w:spacing w:lineRule="auto" w:line="240" w:before="0" w:after="0"/>
        <w:rPr>
          <w:shd w:fill="FFFFFF" w:val="clear"/>
        </w:rPr>
      </w:pPr>
      <w:r>
        <w:rPr>
          <w:rFonts w:ascii="Times New Roman" w:hAnsi="Times New Roman"/>
          <w:b/>
          <w:color w:val="000000"/>
          <w:sz w:val="20"/>
          <w:szCs w:val="20"/>
          <w:shd w:fill="FFFFFF" w:val="clear"/>
        </w:rPr>
        <w:t>ОБРАЗЕЦ</w:t>
      </w:r>
    </w:p>
    <w:p>
      <w:pPr>
        <w:pStyle w:val="Normal"/>
        <w:spacing w:lineRule="auto" w:line="240" w:before="0" w:after="0"/>
        <w:rPr>
          <w:rFonts w:ascii="Times New Roman" w:hAnsi="Times New Roman"/>
          <w:color w:val="000000"/>
          <w:sz w:val="20"/>
          <w:szCs w:val="20"/>
          <w:shd w:fill="FFFFFF" w:val="clear"/>
        </w:rPr>
      </w:pPr>
      <w:r>
        <w:rPr>
          <w:rFonts w:ascii="Times New Roman" w:hAnsi="Times New Roman"/>
          <w:color w:val="000000"/>
          <w:sz w:val="20"/>
          <w:szCs w:val="20"/>
          <w:shd w:fill="FFFFFF" w:val="clear"/>
        </w:rPr>
      </w:r>
    </w:p>
    <w:tbl>
      <w:tblPr>
        <w:tblW w:w="5000" w:type="pct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1133"/>
        <w:gridCol w:w="1316"/>
        <w:gridCol w:w="692"/>
        <w:gridCol w:w="2815"/>
        <w:gridCol w:w="849"/>
        <w:gridCol w:w="1099"/>
        <w:gridCol w:w="665"/>
        <w:gridCol w:w="1042"/>
        <w:gridCol w:w="1083"/>
        <w:gridCol w:w="665"/>
        <w:gridCol w:w="1043"/>
        <w:gridCol w:w="505"/>
        <w:gridCol w:w="687"/>
        <w:gridCol w:w="2239"/>
      </w:tblGrid>
      <w:tr>
        <w:trPr>
          <w:trHeight w:val="285" w:hRule="atLeast"/>
        </w:trPr>
        <w:tc>
          <w:tcPr>
            <w:tcW w:w="3141" w:type="dxa"/>
            <w:gridSpan w:val="3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hd w:fill="FFFFFF" w:val="clear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16"/>
                <w:szCs w:val="16"/>
                <w:shd w:fill="FFFFFF" w:val="clear"/>
              </w:rPr>
              <w:t>СОГЛАСОВАНО:</w:t>
            </w:r>
          </w:p>
        </w:tc>
        <w:tc>
          <w:tcPr>
            <w:tcW w:w="2815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shd w:fill="FFFFFF" w:val="clear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16"/>
                <w:szCs w:val="16"/>
                <w:shd w:fill="FFFFFF" w:val="clear"/>
              </w:rPr>
            </w:r>
          </w:p>
        </w:tc>
        <w:tc>
          <w:tcPr>
            <w:tcW w:w="84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109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66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104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108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66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4474" w:type="dxa"/>
            <w:gridSpan w:val="4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hd w:fill="FFFFFF" w:val="clear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16"/>
                <w:szCs w:val="16"/>
                <w:shd w:fill="FFFFFF" w:val="clear"/>
              </w:rPr>
              <w:t>УТВЕРЖДАЮ:</w:t>
            </w:r>
          </w:p>
        </w:tc>
      </w:tr>
      <w:tr>
        <w:trPr>
          <w:trHeight w:val="225" w:hRule="exact"/>
        </w:trPr>
        <w:tc>
          <w:tcPr>
            <w:tcW w:w="5956" w:type="dxa"/>
            <w:gridSpan w:val="4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84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109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66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104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108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5139" w:type="dxa"/>
            <w:gridSpan w:val="5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</w:tr>
      <w:tr>
        <w:trPr>
          <w:trHeight w:val="345" w:hRule="atLeast"/>
        </w:trPr>
        <w:tc>
          <w:tcPr>
            <w:tcW w:w="1133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shd w:fill="FFFFFF" w:val="clear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shd w:fill="FFFFFF" w:val="clear"/>
              </w:rPr>
              <w:t> </w:t>
            </w:r>
          </w:p>
        </w:tc>
        <w:tc>
          <w:tcPr>
            <w:tcW w:w="1316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shd w:fill="FFFFFF" w:val="clear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shd w:fill="FFFFFF" w:val="clear"/>
              </w:rPr>
              <w:t> </w:t>
            </w:r>
          </w:p>
        </w:tc>
        <w:tc>
          <w:tcPr>
            <w:tcW w:w="69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  <w:shd w:fill="FFFFFF" w:val="clear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shd w:fill="FFFFFF" w:val="clear"/>
              </w:rPr>
            </w:r>
          </w:p>
        </w:tc>
        <w:tc>
          <w:tcPr>
            <w:tcW w:w="281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84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109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66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104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108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66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1043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shd w:fill="FFFFFF" w:val="clear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shd w:fill="FFFFFF" w:val="clear"/>
              </w:rPr>
              <w:t> </w:t>
            </w:r>
          </w:p>
        </w:tc>
        <w:tc>
          <w:tcPr>
            <w:tcW w:w="505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shd w:fill="FFFFFF" w:val="clear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shd w:fill="FFFFFF" w:val="clear"/>
              </w:rPr>
              <w:t> </w:t>
            </w:r>
          </w:p>
        </w:tc>
        <w:tc>
          <w:tcPr>
            <w:tcW w:w="687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shd w:fill="FFFFFF" w:val="clear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shd w:fill="FFFFFF" w:val="clear"/>
              </w:rPr>
              <w:t> </w:t>
            </w:r>
          </w:p>
        </w:tc>
        <w:tc>
          <w:tcPr>
            <w:tcW w:w="2239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shd w:fill="FFFFFF" w:val="clear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shd w:fill="FFFFFF" w:val="clear"/>
              </w:rPr>
              <w:t> </w:t>
            </w:r>
          </w:p>
        </w:tc>
      </w:tr>
      <w:tr>
        <w:trPr>
          <w:trHeight w:val="330" w:hRule="atLeast"/>
        </w:trPr>
        <w:tc>
          <w:tcPr>
            <w:tcW w:w="2449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shd w:fill="FFFFFF" w:val="clear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shd w:fill="FFFFFF" w:val="clear"/>
              </w:rPr>
              <w:t>"_____" _____________2021 г</w:t>
            </w:r>
          </w:p>
        </w:tc>
        <w:tc>
          <w:tcPr>
            <w:tcW w:w="692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  <w:shd w:fill="FFFFFF" w:val="clear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shd w:fill="FFFFFF" w:val="clear"/>
              </w:rPr>
            </w:r>
          </w:p>
        </w:tc>
        <w:tc>
          <w:tcPr>
            <w:tcW w:w="2815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84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109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66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104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108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66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104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505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687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223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shd w:fill="FFFFFF" w:val="clear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shd w:fill="FFFFFF" w:val="clear"/>
              </w:rPr>
              <w:t>"_____" ________2021 г</w:t>
            </w:r>
          </w:p>
        </w:tc>
      </w:tr>
      <w:tr>
        <w:trPr>
          <w:trHeight w:val="225" w:hRule="atLeast"/>
        </w:trPr>
        <w:tc>
          <w:tcPr>
            <w:tcW w:w="3141" w:type="dxa"/>
            <w:gridSpan w:val="3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shd w:fill="FFFFFF" w:val="clear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shd w:fill="FFFFFF" w:val="clear"/>
              </w:rPr>
              <w:t xml:space="preserve">Наименование редакции сметных нормативов  </w:t>
            </w:r>
          </w:p>
        </w:tc>
        <w:tc>
          <w:tcPr>
            <w:tcW w:w="12692" w:type="dxa"/>
            <w:gridSpan w:val="11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  <w:shd w:fill="FFFFFF" w:val="clear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shd w:fill="FFFFFF" w:val="clear"/>
              </w:rPr>
            </w:r>
          </w:p>
        </w:tc>
      </w:tr>
      <w:tr>
        <w:trPr>
          <w:trHeight w:val="300" w:hRule="atLeast"/>
        </w:trPr>
        <w:tc>
          <w:tcPr>
            <w:tcW w:w="3141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shd w:fill="FFFFFF" w:val="clear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shd w:fill="FFFFFF" w:val="clear"/>
              </w:rPr>
              <w:t>Наименование программного продукта</w:t>
            </w:r>
          </w:p>
        </w:tc>
        <w:tc>
          <w:tcPr>
            <w:tcW w:w="3664" w:type="dxa"/>
            <w:gridSpan w:val="2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shd w:fill="FFFFFF" w:val="clear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shd w:fill="FFFFFF" w:val="clear"/>
              </w:rPr>
              <w:t>ПК "ГРАНД-Смета 2021"</w:t>
            </w:r>
          </w:p>
        </w:tc>
        <w:tc>
          <w:tcPr>
            <w:tcW w:w="1099" w:type="dxa"/>
            <w:tcBorders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shd w:fill="FFFFFF" w:val="clear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shd w:fill="FFFFFF" w:val="clear"/>
              </w:rPr>
              <w:t> </w:t>
            </w:r>
          </w:p>
        </w:tc>
        <w:tc>
          <w:tcPr>
            <w:tcW w:w="665" w:type="dxa"/>
            <w:tcBorders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shd w:fill="FFFFFF" w:val="clear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shd w:fill="FFFFFF" w:val="clear"/>
              </w:rPr>
              <w:t> </w:t>
            </w:r>
          </w:p>
        </w:tc>
        <w:tc>
          <w:tcPr>
            <w:tcW w:w="1042" w:type="dxa"/>
            <w:tcBorders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shd w:fill="FFFFFF" w:val="clear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shd w:fill="FFFFFF" w:val="clear"/>
              </w:rPr>
              <w:t> </w:t>
            </w:r>
          </w:p>
        </w:tc>
        <w:tc>
          <w:tcPr>
            <w:tcW w:w="1083" w:type="dxa"/>
            <w:tcBorders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shd w:fill="FFFFFF" w:val="clear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shd w:fill="FFFFFF" w:val="clear"/>
              </w:rPr>
              <w:t> </w:t>
            </w:r>
          </w:p>
        </w:tc>
        <w:tc>
          <w:tcPr>
            <w:tcW w:w="665" w:type="dxa"/>
            <w:tcBorders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shd w:fill="FFFFFF" w:val="clear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shd w:fill="FFFFFF" w:val="clear"/>
              </w:rPr>
              <w:t> </w:t>
            </w:r>
          </w:p>
        </w:tc>
        <w:tc>
          <w:tcPr>
            <w:tcW w:w="1043" w:type="dxa"/>
            <w:tcBorders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shd w:fill="FFFFFF" w:val="clear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shd w:fill="FFFFFF" w:val="clear"/>
              </w:rPr>
              <w:t> </w:t>
            </w:r>
          </w:p>
        </w:tc>
        <w:tc>
          <w:tcPr>
            <w:tcW w:w="505" w:type="dxa"/>
            <w:tcBorders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shd w:fill="FFFFFF" w:val="clear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shd w:fill="FFFFFF" w:val="clear"/>
              </w:rPr>
              <w:t> </w:t>
            </w:r>
          </w:p>
        </w:tc>
        <w:tc>
          <w:tcPr>
            <w:tcW w:w="687" w:type="dxa"/>
            <w:tcBorders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shd w:fill="FFFFFF" w:val="clear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shd w:fill="FFFFFF" w:val="clear"/>
              </w:rPr>
              <w:t> </w:t>
            </w:r>
          </w:p>
        </w:tc>
        <w:tc>
          <w:tcPr>
            <w:tcW w:w="2239" w:type="dxa"/>
            <w:tcBorders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shd w:fill="FFFFFF" w:val="clear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shd w:fill="FFFFFF" w:val="clear"/>
              </w:rPr>
              <w:t> </w:t>
            </w:r>
          </w:p>
        </w:tc>
      </w:tr>
      <w:tr>
        <w:trPr>
          <w:trHeight w:val="165" w:hRule="exact"/>
        </w:trPr>
        <w:tc>
          <w:tcPr>
            <w:tcW w:w="113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  <w:shd w:fill="FFFFFF" w:val="clear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shd w:fill="FFFFFF" w:val="clear"/>
              </w:rPr>
            </w:r>
          </w:p>
        </w:tc>
        <w:tc>
          <w:tcPr>
            <w:tcW w:w="131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69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281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84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1099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665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1042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1083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665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1043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505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687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2239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</w:tr>
      <w:tr>
        <w:trPr>
          <w:trHeight w:val="225" w:hRule="atLeast"/>
        </w:trPr>
        <w:tc>
          <w:tcPr>
            <w:tcW w:w="15833" w:type="dxa"/>
            <w:gridSpan w:val="14"/>
            <w:tcBorders>
              <w:top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hd w:fill="FFFFFF" w:val="clear"/>
              </w:rPr>
            </w:pPr>
            <w:r>
              <w:rPr>
                <w:rFonts w:cs="Arial" w:ascii="Arial" w:hAnsi="Arial"/>
                <w:i/>
                <w:iCs/>
                <w:color w:val="000000"/>
                <w:sz w:val="16"/>
                <w:szCs w:val="16"/>
                <w:shd w:fill="FFFFFF" w:val="clear"/>
              </w:rPr>
              <w:t>(наименование стройки)</w:t>
            </w:r>
          </w:p>
        </w:tc>
      </w:tr>
      <w:tr>
        <w:trPr>
          <w:trHeight w:val="225" w:hRule="exact"/>
        </w:trPr>
        <w:tc>
          <w:tcPr>
            <w:tcW w:w="15833" w:type="dxa"/>
            <w:gridSpan w:val="14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</w:tr>
      <w:tr>
        <w:trPr>
          <w:trHeight w:val="225" w:hRule="atLeast"/>
        </w:trPr>
        <w:tc>
          <w:tcPr>
            <w:tcW w:w="15833" w:type="dxa"/>
            <w:gridSpan w:val="14"/>
            <w:tcBorders>
              <w:top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hd w:fill="FFFFFF" w:val="clear"/>
              </w:rPr>
            </w:pPr>
            <w:r>
              <w:rPr>
                <w:rFonts w:cs="Arial" w:ascii="Arial" w:hAnsi="Arial"/>
                <w:i/>
                <w:iCs/>
                <w:color w:val="000000"/>
                <w:sz w:val="16"/>
                <w:szCs w:val="16"/>
                <w:shd w:fill="FFFFFF" w:val="clear"/>
              </w:rPr>
              <w:t>(наименование объекта капитального строительства)</w:t>
            </w:r>
          </w:p>
        </w:tc>
      </w:tr>
      <w:tr>
        <w:trPr>
          <w:trHeight w:val="480" w:hRule="atLeast"/>
        </w:trPr>
        <w:tc>
          <w:tcPr>
            <w:tcW w:w="15833" w:type="dxa"/>
            <w:gridSpan w:val="14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hd w:fill="FFFFFF" w:val="clear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24"/>
                <w:szCs w:val="24"/>
                <w:shd w:fill="FFFFFF" w:val="clear"/>
              </w:rPr>
              <w:t xml:space="preserve">ЛОКАЛЬНЫЙ СМЕТНЫЙ РАСЧЕТ (СМЕТА) № </w:t>
            </w:r>
          </w:p>
        </w:tc>
      </w:tr>
      <w:tr>
        <w:trPr>
          <w:trHeight w:val="165" w:hRule="exact"/>
        </w:trPr>
        <w:tc>
          <w:tcPr>
            <w:tcW w:w="113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  <w:shd w:fill="FFFFFF" w:val="clear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28"/>
                <w:szCs w:val="28"/>
                <w:shd w:fill="FFFFFF" w:val="clear"/>
              </w:rPr>
            </w:r>
          </w:p>
        </w:tc>
        <w:tc>
          <w:tcPr>
            <w:tcW w:w="131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69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281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84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109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66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104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108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66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104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50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687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223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</w:tr>
      <w:tr>
        <w:trPr>
          <w:trHeight w:val="225" w:hRule="atLeast"/>
        </w:trPr>
        <w:tc>
          <w:tcPr>
            <w:tcW w:w="15833" w:type="dxa"/>
            <w:gridSpan w:val="14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shd w:fill="FFFFFF" w:val="clear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shd w:fill="FFFFFF" w:val="clear"/>
              </w:rPr>
            </w:r>
          </w:p>
        </w:tc>
      </w:tr>
      <w:tr>
        <w:trPr>
          <w:trHeight w:val="270" w:hRule="atLeast"/>
        </w:trPr>
        <w:tc>
          <w:tcPr>
            <w:tcW w:w="15833" w:type="dxa"/>
            <w:gridSpan w:val="14"/>
            <w:tcBorders>
              <w:top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hd w:fill="FFFFFF" w:val="clear"/>
              </w:rPr>
            </w:pPr>
            <w:r>
              <w:rPr>
                <w:rFonts w:cs="Arial" w:ascii="Arial" w:hAnsi="Arial"/>
                <w:i/>
                <w:iCs/>
                <w:color w:val="000000"/>
                <w:sz w:val="16"/>
                <w:szCs w:val="16"/>
                <w:shd w:fill="FFFFFF" w:val="clear"/>
              </w:rPr>
              <w:t>(наименование конструктивного решения)</w:t>
            </w:r>
          </w:p>
        </w:tc>
      </w:tr>
      <w:tr>
        <w:trPr>
          <w:trHeight w:val="300" w:hRule="atLeast"/>
        </w:trPr>
        <w:tc>
          <w:tcPr>
            <w:tcW w:w="113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shd w:fill="FFFFFF" w:val="clear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shd w:fill="FFFFFF" w:val="clear"/>
              </w:rPr>
              <w:t xml:space="preserve">Составлен </w:t>
            </w:r>
          </w:p>
        </w:tc>
        <w:tc>
          <w:tcPr>
            <w:tcW w:w="1316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hd w:fill="FFFFFF" w:val="clear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shd w:fill="FFFFFF" w:val="clear"/>
              </w:rPr>
              <w:t>ресурсно-индексным</w:t>
            </w:r>
          </w:p>
        </w:tc>
        <w:tc>
          <w:tcPr>
            <w:tcW w:w="69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shd w:fill="FFFFFF" w:val="clear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shd w:fill="FFFFFF" w:val="clear"/>
              </w:rPr>
              <w:t>методом</w:t>
            </w:r>
          </w:p>
        </w:tc>
        <w:tc>
          <w:tcPr>
            <w:tcW w:w="281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  <w:shd w:fill="FFFFFF" w:val="clear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shd w:fill="FFFFFF" w:val="clear"/>
              </w:rPr>
            </w:r>
          </w:p>
        </w:tc>
        <w:tc>
          <w:tcPr>
            <w:tcW w:w="84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109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66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104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108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66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104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50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687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223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</w:tr>
      <w:tr>
        <w:trPr>
          <w:trHeight w:val="360" w:hRule="atLeast"/>
        </w:trPr>
        <w:tc>
          <w:tcPr>
            <w:tcW w:w="113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shd w:fill="FFFFFF" w:val="clear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shd w:fill="FFFFFF" w:val="clear"/>
              </w:rPr>
              <w:t>Основание</w:t>
            </w:r>
          </w:p>
        </w:tc>
        <w:tc>
          <w:tcPr>
            <w:tcW w:w="6771" w:type="dxa"/>
            <w:gridSpan w:val="5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shd w:fill="FFFFFF" w:val="clear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shd w:fill="FFFFFF" w:val="clear"/>
              </w:rPr>
            </w:r>
          </w:p>
        </w:tc>
        <w:tc>
          <w:tcPr>
            <w:tcW w:w="66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shd w:fill="FFFFFF" w:val="clear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shd w:fill="FFFFFF" w:val="clear"/>
              </w:rPr>
            </w:r>
          </w:p>
        </w:tc>
        <w:tc>
          <w:tcPr>
            <w:tcW w:w="104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108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66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104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50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687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223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</w:tr>
      <w:tr>
        <w:trPr>
          <w:trHeight w:val="225" w:hRule="atLeast"/>
        </w:trPr>
        <w:tc>
          <w:tcPr>
            <w:tcW w:w="113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6771" w:type="dxa"/>
            <w:gridSpan w:val="5"/>
            <w:tcBorders>
              <w:top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hd w:fill="FFFFFF" w:val="clear"/>
              </w:rPr>
            </w:pPr>
            <w:r>
              <w:rPr>
                <w:rFonts w:cs="Arial" w:ascii="Arial" w:hAnsi="Arial"/>
                <w:i/>
                <w:iCs/>
                <w:color w:val="000000"/>
                <w:sz w:val="16"/>
                <w:szCs w:val="16"/>
                <w:shd w:fill="FFFFFF" w:val="clear"/>
              </w:rPr>
              <w:t>(проектная и (или) иная техническая документация)</w:t>
            </w:r>
          </w:p>
        </w:tc>
        <w:tc>
          <w:tcPr>
            <w:tcW w:w="66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i/>
                <w:i/>
                <w:iCs/>
                <w:color w:val="000000"/>
                <w:sz w:val="16"/>
                <w:szCs w:val="16"/>
                <w:shd w:fill="FFFFFF" w:val="clear"/>
              </w:rPr>
            </w:pPr>
            <w:r>
              <w:rPr>
                <w:rFonts w:cs="Arial" w:ascii="Arial" w:hAnsi="Arial"/>
                <w:i/>
                <w:iCs/>
                <w:color w:val="000000"/>
                <w:sz w:val="16"/>
                <w:szCs w:val="16"/>
                <w:shd w:fill="FFFFFF" w:val="clear"/>
              </w:rPr>
            </w:r>
          </w:p>
        </w:tc>
        <w:tc>
          <w:tcPr>
            <w:tcW w:w="104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108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66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104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50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687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223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</w:tr>
      <w:tr>
        <w:trPr>
          <w:trHeight w:val="225" w:hRule="atLeast"/>
        </w:trPr>
        <w:tc>
          <w:tcPr>
            <w:tcW w:w="3141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shd w:fill="FFFFFF" w:val="clear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16"/>
                <w:szCs w:val="16"/>
                <w:shd w:fill="FFFFFF" w:val="clear"/>
              </w:rPr>
              <w:t xml:space="preserve">Составлен(а) в текущем (базисном) уровне цен </w:t>
            </w:r>
          </w:p>
        </w:tc>
        <w:tc>
          <w:tcPr>
            <w:tcW w:w="2815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shd w:fill="FFFFFF" w:val="clear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shd w:fill="FFFFFF" w:val="clear"/>
              </w:rPr>
              <w:t>соответствующих периоду выполнения работ по договору</w:t>
            </w:r>
          </w:p>
        </w:tc>
        <w:tc>
          <w:tcPr>
            <w:tcW w:w="84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  <w:shd w:fill="FFFFFF" w:val="clear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shd w:fill="FFFFFF" w:val="clear"/>
              </w:rPr>
            </w:r>
          </w:p>
        </w:tc>
        <w:tc>
          <w:tcPr>
            <w:tcW w:w="109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66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104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108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66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104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50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687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223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</w:tr>
      <w:tr>
        <w:trPr>
          <w:trHeight w:val="255" w:hRule="atLeast"/>
        </w:trPr>
        <w:tc>
          <w:tcPr>
            <w:tcW w:w="2449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shd w:fill="FFFFFF" w:val="clear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16"/>
                <w:szCs w:val="16"/>
                <w:shd w:fill="FFFFFF" w:val="clear"/>
              </w:rPr>
              <w:t xml:space="preserve">Сметная стоимость </w:t>
            </w:r>
          </w:p>
        </w:tc>
        <w:tc>
          <w:tcPr>
            <w:tcW w:w="692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  <w:shd w:fill="FFFFFF" w:val="clear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shd w:fill="FFFFFF" w:val="clear"/>
              </w:rPr>
            </w:r>
          </w:p>
        </w:tc>
        <w:tc>
          <w:tcPr>
            <w:tcW w:w="2815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  <w:shd w:fill="FFFFFF" w:val="clear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shd w:fill="FFFFFF" w:val="clear"/>
              </w:rPr>
            </w:r>
          </w:p>
        </w:tc>
        <w:tc>
          <w:tcPr>
            <w:tcW w:w="849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shd w:fill="FFFFFF" w:val="clear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shd w:fill="FFFFFF" w:val="clear"/>
              </w:rPr>
              <w:t>тыс.руб.</w:t>
            </w:r>
          </w:p>
        </w:tc>
        <w:tc>
          <w:tcPr>
            <w:tcW w:w="109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  <w:shd w:fill="FFFFFF" w:val="clear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shd w:fill="FFFFFF" w:val="clear"/>
              </w:rPr>
            </w:r>
          </w:p>
        </w:tc>
        <w:tc>
          <w:tcPr>
            <w:tcW w:w="66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104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108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66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104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505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687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223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</w:tr>
      <w:tr>
        <w:trPr>
          <w:trHeight w:val="255" w:hRule="atLeast"/>
        </w:trPr>
        <w:tc>
          <w:tcPr>
            <w:tcW w:w="113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131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shd w:fill="FFFFFF" w:val="clear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shd w:fill="FFFFFF" w:val="clear"/>
              </w:rPr>
              <w:t>в том числе:</w:t>
            </w:r>
          </w:p>
        </w:tc>
        <w:tc>
          <w:tcPr>
            <w:tcW w:w="69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  <w:shd w:fill="FFFFFF" w:val="clear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shd w:fill="FFFFFF" w:val="clear"/>
              </w:rPr>
            </w:r>
          </w:p>
        </w:tc>
        <w:tc>
          <w:tcPr>
            <w:tcW w:w="281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849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109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66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104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108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66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104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50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687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223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</w:tr>
      <w:tr>
        <w:trPr>
          <w:trHeight w:val="255" w:hRule="atLeast"/>
        </w:trPr>
        <w:tc>
          <w:tcPr>
            <w:tcW w:w="113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131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shd w:fill="FFFFFF" w:val="clear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shd w:fill="FFFFFF" w:val="clear"/>
              </w:rPr>
              <w:t>строительных работ</w:t>
            </w:r>
          </w:p>
        </w:tc>
        <w:tc>
          <w:tcPr>
            <w:tcW w:w="692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  <w:shd w:fill="FFFFFF" w:val="clear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shd w:fill="FFFFFF" w:val="clear"/>
              </w:rPr>
            </w:r>
          </w:p>
        </w:tc>
        <w:tc>
          <w:tcPr>
            <w:tcW w:w="2815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  <w:shd w:fill="FFFFFF" w:val="clear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shd w:fill="FFFFFF" w:val="clear"/>
              </w:rPr>
            </w:r>
          </w:p>
        </w:tc>
        <w:tc>
          <w:tcPr>
            <w:tcW w:w="849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shd w:fill="FFFFFF" w:val="clear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shd w:fill="FFFFFF" w:val="clear"/>
              </w:rPr>
              <w:t>тыс.руб.</w:t>
            </w:r>
          </w:p>
        </w:tc>
        <w:tc>
          <w:tcPr>
            <w:tcW w:w="109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  <w:shd w:fill="FFFFFF" w:val="clear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shd w:fill="FFFFFF" w:val="clear"/>
              </w:rPr>
            </w:r>
          </w:p>
        </w:tc>
        <w:tc>
          <w:tcPr>
            <w:tcW w:w="3455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shd w:fill="FFFFFF" w:val="clear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shd w:fill="FFFFFF" w:val="clear"/>
              </w:rPr>
              <w:t>Средства на оплату труда рабочих</w:t>
            </w:r>
          </w:p>
        </w:tc>
        <w:tc>
          <w:tcPr>
            <w:tcW w:w="104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  <w:shd w:fill="FFFFFF" w:val="clear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shd w:fill="FFFFFF" w:val="clear"/>
              </w:rPr>
            </w:r>
          </w:p>
        </w:tc>
        <w:tc>
          <w:tcPr>
            <w:tcW w:w="505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  <w:shd w:fill="FFFFFF" w:val="clear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shd w:fill="FFFFFF" w:val="clear"/>
              </w:rPr>
            </w:r>
          </w:p>
        </w:tc>
        <w:tc>
          <w:tcPr>
            <w:tcW w:w="687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  <w:shd w:fill="FFFFFF" w:val="clear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shd w:fill="FFFFFF" w:val="clear"/>
              </w:rPr>
            </w:r>
          </w:p>
        </w:tc>
        <w:tc>
          <w:tcPr>
            <w:tcW w:w="2239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shd w:fill="FFFFFF" w:val="clear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shd w:fill="FFFFFF" w:val="clear"/>
              </w:rPr>
              <w:t>тыс.руб.</w:t>
            </w:r>
          </w:p>
        </w:tc>
      </w:tr>
      <w:tr>
        <w:trPr>
          <w:trHeight w:val="255" w:hRule="atLeast"/>
        </w:trPr>
        <w:tc>
          <w:tcPr>
            <w:tcW w:w="113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  <w:shd w:fill="FFFFFF" w:val="clear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shd w:fill="FFFFFF" w:val="clear"/>
              </w:rPr>
            </w:r>
          </w:p>
        </w:tc>
        <w:tc>
          <w:tcPr>
            <w:tcW w:w="131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shd w:fill="FFFFFF" w:val="clear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shd w:fill="FFFFFF" w:val="clear"/>
              </w:rPr>
              <w:t>монтажных работ</w:t>
            </w:r>
          </w:p>
        </w:tc>
        <w:tc>
          <w:tcPr>
            <w:tcW w:w="692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  <w:shd w:fill="FFFFFF" w:val="clear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shd w:fill="FFFFFF" w:val="clear"/>
              </w:rPr>
            </w:r>
          </w:p>
        </w:tc>
        <w:tc>
          <w:tcPr>
            <w:tcW w:w="2815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  <w:shd w:fill="FFFFFF" w:val="clear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shd w:fill="FFFFFF" w:val="clear"/>
              </w:rPr>
            </w:r>
          </w:p>
        </w:tc>
        <w:tc>
          <w:tcPr>
            <w:tcW w:w="849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shd w:fill="FFFFFF" w:val="clear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shd w:fill="FFFFFF" w:val="clear"/>
              </w:rPr>
              <w:t>тыс.руб.</w:t>
            </w:r>
          </w:p>
        </w:tc>
        <w:tc>
          <w:tcPr>
            <w:tcW w:w="109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  <w:shd w:fill="FFFFFF" w:val="clear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shd w:fill="FFFFFF" w:val="clear"/>
              </w:rPr>
            </w:r>
          </w:p>
        </w:tc>
        <w:tc>
          <w:tcPr>
            <w:tcW w:w="3455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shd w:fill="FFFFFF" w:val="clear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shd w:fill="FFFFFF" w:val="clear"/>
              </w:rPr>
              <w:t>Нормативные затраты труда рабочих</w:t>
            </w:r>
          </w:p>
        </w:tc>
        <w:tc>
          <w:tcPr>
            <w:tcW w:w="104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  <w:shd w:fill="FFFFFF" w:val="clear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shd w:fill="FFFFFF" w:val="clear"/>
              </w:rPr>
            </w:r>
          </w:p>
        </w:tc>
        <w:tc>
          <w:tcPr>
            <w:tcW w:w="505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shd w:fill="FFFFFF" w:val="clear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shd w:fill="FFFFFF" w:val="clear"/>
              </w:rPr>
              <w:t> </w:t>
            </w:r>
          </w:p>
        </w:tc>
        <w:tc>
          <w:tcPr>
            <w:tcW w:w="687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  <w:shd w:fill="FFFFFF" w:val="clear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shd w:fill="FFFFFF" w:val="clear"/>
              </w:rPr>
            </w:r>
          </w:p>
        </w:tc>
        <w:tc>
          <w:tcPr>
            <w:tcW w:w="223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shd w:fill="FFFFFF" w:val="clear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shd w:fill="FFFFFF" w:val="clear"/>
              </w:rPr>
              <w:t>чел.час.</w:t>
            </w:r>
          </w:p>
        </w:tc>
      </w:tr>
      <w:tr>
        <w:trPr>
          <w:trHeight w:val="255" w:hRule="atLeast"/>
        </w:trPr>
        <w:tc>
          <w:tcPr>
            <w:tcW w:w="113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  <w:shd w:fill="FFFFFF" w:val="clear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shd w:fill="FFFFFF" w:val="clear"/>
              </w:rPr>
            </w:r>
          </w:p>
        </w:tc>
        <w:tc>
          <w:tcPr>
            <w:tcW w:w="131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shd w:fill="FFFFFF" w:val="clear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shd w:fill="FFFFFF" w:val="clear"/>
              </w:rPr>
              <w:t>оборудования</w:t>
            </w:r>
          </w:p>
        </w:tc>
        <w:tc>
          <w:tcPr>
            <w:tcW w:w="692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  <w:shd w:fill="FFFFFF" w:val="clear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shd w:fill="FFFFFF" w:val="clear"/>
              </w:rPr>
            </w:r>
          </w:p>
        </w:tc>
        <w:tc>
          <w:tcPr>
            <w:tcW w:w="2815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  <w:shd w:fill="FFFFFF" w:val="clear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shd w:fill="FFFFFF" w:val="clear"/>
              </w:rPr>
            </w:r>
          </w:p>
        </w:tc>
        <w:tc>
          <w:tcPr>
            <w:tcW w:w="849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shd w:fill="FFFFFF" w:val="clear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shd w:fill="FFFFFF" w:val="clear"/>
              </w:rPr>
              <w:t>тыс.руб.</w:t>
            </w:r>
          </w:p>
        </w:tc>
        <w:tc>
          <w:tcPr>
            <w:tcW w:w="109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  <w:shd w:fill="FFFFFF" w:val="clear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shd w:fill="FFFFFF" w:val="clear"/>
              </w:rPr>
            </w:r>
          </w:p>
        </w:tc>
        <w:tc>
          <w:tcPr>
            <w:tcW w:w="3455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shd w:fill="FFFFFF" w:val="clear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shd w:fill="FFFFFF" w:val="clear"/>
              </w:rPr>
              <w:t>Нормативные затраты труда машинистов</w:t>
            </w:r>
          </w:p>
        </w:tc>
        <w:tc>
          <w:tcPr>
            <w:tcW w:w="104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  <w:shd w:fill="FFFFFF" w:val="clear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shd w:fill="FFFFFF" w:val="clear"/>
              </w:rPr>
            </w:r>
          </w:p>
        </w:tc>
        <w:tc>
          <w:tcPr>
            <w:tcW w:w="505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shd w:fill="FFFFFF" w:val="clear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shd w:fill="FFFFFF" w:val="clear"/>
              </w:rPr>
              <w:t> </w:t>
            </w:r>
          </w:p>
        </w:tc>
        <w:tc>
          <w:tcPr>
            <w:tcW w:w="687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shd w:fill="FFFFFF" w:val="clear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shd w:fill="FFFFFF" w:val="clear"/>
              </w:rPr>
              <w:t> </w:t>
            </w:r>
          </w:p>
        </w:tc>
        <w:tc>
          <w:tcPr>
            <w:tcW w:w="223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shd w:fill="FFFFFF" w:val="clear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shd w:fill="FFFFFF" w:val="clear"/>
              </w:rPr>
              <w:t>чел.час.</w:t>
            </w:r>
          </w:p>
        </w:tc>
      </w:tr>
      <w:tr>
        <w:trPr>
          <w:trHeight w:val="255" w:hRule="atLeast"/>
        </w:trPr>
        <w:tc>
          <w:tcPr>
            <w:tcW w:w="113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  <w:shd w:fill="FFFFFF" w:val="clear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shd w:fill="FFFFFF" w:val="clear"/>
              </w:rPr>
            </w:r>
          </w:p>
        </w:tc>
        <w:tc>
          <w:tcPr>
            <w:tcW w:w="131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shd w:fill="FFFFFF" w:val="clear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shd w:fill="FFFFFF" w:val="clear"/>
              </w:rPr>
              <w:t>прочих затрат</w:t>
            </w:r>
          </w:p>
        </w:tc>
        <w:tc>
          <w:tcPr>
            <w:tcW w:w="692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  <w:shd w:fill="FFFFFF" w:val="clear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shd w:fill="FFFFFF" w:val="clear"/>
              </w:rPr>
            </w:r>
          </w:p>
        </w:tc>
        <w:tc>
          <w:tcPr>
            <w:tcW w:w="2815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  <w:shd w:fill="FFFFFF" w:val="clear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shd w:fill="FFFFFF" w:val="clear"/>
              </w:rPr>
            </w:r>
          </w:p>
        </w:tc>
        <w:tc>
          <w:tcPr>
            <w:tcW w:w="849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shd w:fill="FFFFFF" w:val="clear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shd w:fill="FFFFFF" w:val="clear"/>
              </w:rPr>
              <w:t>тыс.руб.</w:t>
            </w:r>
          </w:p>
        </w:tc>
        <w:tc>
          <w:tcPr>
            <w:tcW w:w="109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  <w:shd w:fill="FFFFFF" w:val="clear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shd w:fill="FFFFFF" w:val="clear"/>
              </w:rPr>
            </w:r>
          </w:p>
        </w:tc>
        <w:tc>
          <w:tcPr>
            <w:tcW w:w="4498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shd w:fill="FFFFFF" w:val="clear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shd w:fill="FFFFFF" w:val="clear"/>
              </w:rPr>
              <w:t xml:space="preserve">Расчетный измеритель конструктивного решения  </w:t>
            </w:r>
          </w:p>
        </w:tc>
        <w:tc>
          <w:tcPr>
            <w:tcW w:w="1192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hd w:fill="FFFFFF" w:val="clear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shd w:fill="FFFFFF" w:val="clear"/>
              </w:rPr>
              <w:t> </w:t>
            </w:r>
          </w:p>
        </w:tc>
        <w:tc>
          <w:tcPr>
            <w:tcW w:w="223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shd w:fill="FFFFFF" w:val="clear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shd w:fill="FFFFFF" w:val="clear"/>
              </w:rPr>
            </w:r>
          </w:p>
        </w:tc>
      </w:tr>
      <w:tr>
        <w:trPr>
          <w:trHeight w:val="195" w:hRule="exact"/>
        </w:trPr>
        <w:tc>
          <w:tcPr>
            <w:tcW w:w="1133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131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69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281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84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109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66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104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108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66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104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50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687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223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</w:tr>
      <w:tr>
        <w:trPr>
          <w:trHeight w:val="720" w:hRule="atLeast"/>
        </w:trPr>
        <w:tc>
          <w:tcPr>
            <w:tcW w:w="11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hd w:fill="FFFFFF" w:val="clear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shd w:fill="FFFFFF" w:val="clear"/>
              </w:rPr>
              <w:t xml:space="preserve">№ </w:t>
            </w:r>
            <w:r>
              <w:rPr>
                <w:rFonts w:cs="Arial" w:ascii="Arial" w:hAnsi="Arial"/>
                <w:color w:val="000000"/>
                <w:sz w:val="16"/>
                <w:szCs w:val="16"/>
                <w:shd w:fill="FFFFFF" w:val="clear"/>
              </w:rPr>
              <w:t>п/п</w:t>
            </w:r>
          </w:p>
        </w:tc>
        <w:tc>
          <w:tcPr>
            <w:tcW w:w="13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hd w:fill="FFFFFF" w:val="clear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shd w:fill="FFFFFF" w:val="clear"/>
              </w:rPr>
              <w:t>Обоснование</w:t>
            </w:r>
          </w:p>
        </w:tc>
        <w:tc>
          <w:tcPr>
            <w:tcW w:w="4356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hd w:fill="FFFFFF" w:val="clear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shd w:fill="FFFFFF" w:val="clear"/>
              </w:rPr>
              <w:t>Наименование работ и затрат</w:t>
            </w:r>
          </w:p>
        </w:tc>
        <w:tc>
          <w:tcPr>
            <w:tcW w:w="10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hd w:fill="FFFFFF" w:val="clear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shd w:fill="FFFFFF" w:val="clear"/>
              </w:rPr>
              <w:t>Единица измерения</w:t>
            </w:r>
          </w:p>
        </w:tc>
        <w:tc>
          <w:tcPr>
            <w:tcW w:w="279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hd w:fill="FFFFFF" w:val="clear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shd w:fill="FFFFFF" w:val="clear"/>
              </w:rPr>
              <w:t>Количество</w:t>
            </w:r>
          </w:p>
        </w:tc>
        <w:tc>
          <w:tcPr>
            <w:tcW w:w="2213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hd w:fill="FFFFFF" w:val="clear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shd w:fill="FFFFFF" w:val="clear"/>
              </w:rPr>
              <w:t>Сметная стоимость в базисном уровне цен (в текущем уровне цен (гр. 8) для ресурсов, отсутствующих в СНБ), руб.</w:t>
            </w:r>
          </w:p>
        </w:tc>
        <w:tc>
          <w:tcPr>
            <w:tcW w:w="6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hd w:fill="FFFFFF" w:val="clear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shd w:fill="FFFFFF" w:val="clear"/>
              </w:rPr>
              <w:t>Индексы</w:t>
            </w:r>
          </w:p>
        </w:tc>
        <w:tc>
          <w:tcPr>
            <w:tcW w:w="22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hd w:fill="FFFFFF" w:val="clear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shd w:fill="FFFFFF" w:val="clear"/>
              </w:rPr>
              <w:t>Сметная стоимость в текущем уровне цен, руб.</w:t>
            </w:r>
          </w:p>
        </w:tc>
      </w:tr>
      <w:tr>
        <w:trPr>
          <w:trHeight w:val="735" w:hRule="atLeast"/>
        </w:trPr>
        <w:tc>
          <w:tcPr>
            <w:tcW w:w="113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  <w:shd w:fill="FFFFFF" w:val="clear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shd w:fill="FFFFFF" w:val="clear"/>
              </w:rPr>
            </w:r>
          </w:p>
        </w:tc>
        <w:tc>
          <w:tcPr>
            <w:tcW w:w="13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  <w:shd w:fill="FFFFFF" w:val="clear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shd w:fill="FFFFFF" w:val="clear"/>
              </w:rPr>
            </w:r>
          </w:p>
        </w:tc>
        <w:tc>
          <w:tcPr>
            <w:tcW w:w="4356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  <w:shd w:fill="FFFFFF" w:val="clear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shd w:fill="FFFFFF" w:val="clear"/>
              </w:rPr>
            </w:r>
          </w:p>
        </w:tc>
        <w:tc>
          <w:tcPr>
            <w:tcW w:w="10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  <w:shd w:fill="FFFFFF" w:val="clear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shd w:fill="FFFFFF" w:val="clear"/>
              </w:rPr>
            </w:r>
          </w:p>
        </w:tc>
        <w:tc>
          <w:tcPr>
            <w:tcW w:w="2790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  <w:shd w:fill="FFFFFF" w:val="clear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shd w:fill="FFFFFF" w:val="clear"/>
              </w:rPr>
            </w:r>
          </w:p>
        </w:tc>
        <w:tc>
          <w:tcPr>
            <w:tcW w:w="2213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  <w:shd w:fill="FFFFFF" w:val="clear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shd w:fill="FFFFFF" w:val="clear"/>
              </w:rPr>
            </w:r>
          </w:p>
        </w:tc>
        <w:tc>
          <w:tcPr>
            <w:tcW w:w="68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  <w:shd w:fill="FFFFFF" w:val="clear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shd w:fill="FFFFFF" w:val="clear"/>
              </w:rPr>
            </w:r>
          </w:p>
        </w:tc>
        <w:tc>
          <w:tcPr>
            <w:tcW w:w="223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  <w:shd w:fill="FFFFFF" w:val="clear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shd w:fill="FFFFFF" w:val="clear"/>
              </w:rPr>
            </w:r>
          </w:p>
        </w:tc>
      </w:tr>
      <w:tr>
        <w:trPr>
          <w:trHeight w:val="900" w:hRule="atLeast"/>
        </w:trPr>
        <w:tc>
          <w:tcPr>
            <w:tcW w:w="113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  <w:shd w:fill="FFFFFF" w:val="clear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shd w:fill="FFFFFF" w:val="clear"/>
              </w:rPr>
            </w:r>
          </w:p>
        </w:tc>
        <w:tc>
          <w:tcPr>
            <w:tcW w:w="13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  <w:shd w:fill="FFFFFF" w:val="clear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shd w:fill="FFFFFF" w:val="clear"/>
              </w:rPr>
            </w:r>
          </w:p>
        </w:tc>
        <w:tc>
          <w:tcPr>
            <w:tcW w:w="4356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  <w:shd w:fill="FFFFFF" w:val="clear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shd w:fill="FFFFFF" w:val="clear"/>
              </w:rPr>
            </w:r>
          </w:p>
        </w:tc>
        <w:tc>
          <w:tcPr>
            <w:tcW w:w="109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  <w:shd w:fill="FFFFFF" w:val="clear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shd w:fill="FFFFFF" w:val="clear"/>
              </w:rPr>
            </w:r>
          </w:p>
        </w:tc>
        <w:tc>
          <w:tcPr>
            <w:tcW w:w="6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hd w:fill="FFFFFF" w:val="clear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shd w:fill="FFFFFF" w:val="clear"/>
              </w:rPr>
              <w:t>на единицу</w:t>
            </w:r>
          </w:p>
        </w:tc>
        <w:tc>
          <w:tcPr>
            <w:tcW w:w="10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hd w:fill="FFFFFF" w:val="clear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shd w:fill="FFFFFF" w:val="clear"/>
              </w:rPr>
              <w:t>коэффициенты</w:t>
            </w:r>
          </w:p>
        </w:tc>
        <w:tc>
          <w:tcPr>
            <w:tcW w:w="108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hd w:fill="FFFFFF" w:val="clear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shd w:fill="FFFFFF" w:val="clear"/>
              </w:rPr>
              <w:t>всего с учетом коэффициентов</w:t>
            </w:r>
          </w:p>
        </w:tc>
        <w:tc>
          <w:tcPr>
            <w:tcW w:w="6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hd w:fill="FFFFFF" w:val="clear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shd w:fill="FFFFFF" w:val="clear"/>
              </w:rPr>
              <w:t>на единицу</w:t>
            </w:r>
          </w:p>
        </w:tc>
        <w:tc>
          <w:tcPr>
            <w:tcW w:w="10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hd w:fill="FFFFFF" w:val="clear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shd w:fill="FFFFFF" w:val="clear"/>
              </w:rPr>
              <w:t>коэффициенты</w:t>
            </w:r>
          </w:p>
        </w:tc>
        <w:tc>
          <w:tcPr>
            <w:tcW w:w="50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hd w:fill="FFFFFF" w:val="clear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shd w:fill="FFFFFF" w:val="clear"/>
              </w:rPr>
              <w:t>всего</w:t>
            </w:r>
          </w:p>
        </w:tc>
        <w:tc>
          <w:tcPr>
            <w:tcW w:w="68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  <w:shd w:fill="FFFFFF" w:val="clear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shd w:fill="FFFFFF" w:val="clear"/>
              </w:rPr>
            </w:r>
          </w:p>
        </w:tc>
        <w:tc>
          <w:tcPr>
            <w:tcW w:w="223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  <w:shd w:fill="FFFFFF" w:val="clear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shd w:fill="FFFFFF" w:val="clear"/>
              </w:rPr>
            </w:r>
          </w:p>
        </w:tc>
      </w:tr>
      <w:tr>
        <w:trPr>
          <w:trHeight w:val="225" w:hRule="atLeast"/>
        </w:trPr>
        <w:tc>
          <w:tcPr>
            <w:tcW w:w="11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hd w:fill="FFFFFF" w:val="clear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shd w:fill="FFFFFF" w:val="clear"/>
              </w:rPr>
              <w:t>1</w:t>
            </w:r>
          </w:p>
        </w:tc>
        <w:tc>
          <w:tcPr>
            <w:tcW w:w="131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hd w:fill="FFFFFF" w:val="clear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shd w:fill="FFFFFF" w:val="clear"/>
              </w:rPr>
              <w:t>2</w:t>
            </w:r>
          </w:p>
        </w:tc>
        <w:tc>
          <w:tcPr>
            <w:tcW w:w="4356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hd w:fill="FFFFFF" w:val="clear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shd w:fill="FFFFFF" w:val="clear"/>
              </w:rPr>
              <w:t>3</w:t>
            </w:r>
          </w:p>
        </w:tc>
        <w:tc>
          <w:tcPr>
            <w:tcW w:w="10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hd w:fill="FFFFFF" w:val="clear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shd w:fill="FFFFFF" w:val="clear"/>
              </w:rPr>
              <w:t>4</w:t>
            </w:r>
          </w:p>
        </w:tc>
        <w:tc>
          <w:tcPr>
            <w:tcW w:w="6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hd w:fill="FFFFFF" w:val="clear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shd w:fill="FFFFFF" w:val="clear"/>
              </w:rPr>
              <w:t>5</w:t>
            </w:r>
          </w:p>
        </w:tc>
        <w:tc>
          <w:tcPr>
            <w:tcW w:w="10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hd w:fill="FFFFFF" w:val="clear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shd w:fill="FFFFFF" w:val="clear"/>
              </w:rPr>
              <w:t>6</w:t>
            </w:r>
          </w:p>
        </w:tc>
        <w:tc>
          <w:tcPr>
            <w:tcW w:w="108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hd w:fill="FFFFFF" w:val="clear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shd w:fill="FFFFFF" w:val="clear"/>
              </w:rPr>
              <w:t>7</w:t>
            </w:r>
          </w:p>
        </w:tc>
        <w:tc>
          <w:tcPr>
            <w:tcW w:w="66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hd w:fill="FFFFFF" w:val="clear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shd w:fill="FFFFFF" w:val="clear"/>
              </w:rPr>
              <w:t>8</w:t>
            </w:r>
          </w:p>
        </w:tc>
        <w:tc>
          <w:tcPr>
            <w:tcW w:w="1043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hd w:fill="FFFFFF" w:val="clear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shd w:fill="FFFFFF" w:val="clear"/>
              </w:rPr>
              <w:t>9</w:t>
            </w:r>
          </w:p>
        </w:tc>
        <w:tc>
          <w:tcPr>
            <w:tcW w:w="50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hd w:fill="FFFFFF" w:val="clear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shd w:fill="FFFFFF" w:val="clear"/>
              </w:rPr>
              <w:t>10</w:t>
            </w:r>
          </w:p>
        </w:tc>
        <w:tc>
          <w:tcPr>
            <w:tcW w:w="68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hd w:fill="FFFFFF" w:val="clear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shd w:fill="FFFFFF" w:val="clear"/>
              </w:rPr>
              <w:t>11</w:t>
            </w:r>
          </w:p>
        </w:tc>
        <w:tc>
          <w:tcPr>
            <w:tcW w:w="22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hd w:fill="FFFFFF" w:val="clear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shd w:fill="FFFFFF" w:val="clear"/>
              </w:rPr>
              <w:t>12</w:t>
            </w:r>
          </w:p>
        </w:tc>
      </w:tr>
    </w:tbl>
    <w:p>
      <w:pPr>
        <w:pStyle w:val="Normal"/>
        <w:spacing w:lineRule="auto" w:line="240" w:before="0" w:after="0"/>
        <w:rPr>
          <w:rFonts w:ascii="Times New Roman" w:hAnsi="Times New Roman"/>
          <w:b/>
          <w:color w:val="000000"/>
          <w:sz w:val="20"/>
          <w:szCs w:val="20"/>
          <w:shd w:fill="FFFFFF" w:val="clear"/>
        </w:rPr>
      </w:pPr>
      <w:r>
        <w:rPr>
          <w:rFonts w:ascii="Times New Roman" w:hAnsi="Times New Roman"/>
          <w:b/>
          <w:color w:val="000000"/>
          <w:sz w:val="20"/>
          <w:szCs w:val="20"/>
          <w:shd w:fill="FFFFFF" w:val="clear"/>
        </w:rPr>
      </w:r>
    </w:p>
    <w:p>
      <w:pPr>
        <w:pStyle w:val="Normal"/>
        <w:spacing w:lineRule="auto" w:line="240" w:before="0" w:after="0"/>
        <w:ind w:left="6373" w:firstLine="720"/>
        <w:jc w:val="right"/>
        <w:rPr>
          <w:rFonts w:ascii="Times New Roman" w:hAnsi="Times New Roman"/>
          <w:color w:val="000000"/>
          <w:sz w:val="20"/>
          <w:szCs w:val="20"/>
          <w:shd w:fill="FFFFFF" w:val="clear"/>
        </w:rPr>
      </w:pPr>
      <w:r>
        <w:rPr>
          <w:rFonts w:ascii="Times New Roman" w:hAnsi="Times New Roman"/>
          <w:color w:val="000000"/>
          <w:sz w:val="20"/>
          <w:szCs w:val="20"/>
          <w:shd w:fill="FFFFFF" w:val="clear"/>
        </w:rPr>
      </w:r>
    </w:p>
    <w:p>
      <w:pPr>
        <w:pStyle w:val="Normal"/>
        <w:spacing w:lineRule="auto" w:line="240" w:before="0" w:after="0"/>
        <w:ind w:left="6373" w:firstLine="720"/>
        <w:jc w:val="right"/>
        <w:rPr>
          <w:rFonts w:ascii="Times New Roman" w:hAnsi="Times New Roman"/>
          <w:color w:val="000000"/>
          <w:sz w:val="20"/>
          <w:szCs w:val="20"/>
          <w:shd w:fill="FFFFFF" w:val="clear"/>
        </w:rPr>
      </w:pPr>
      <w:r>
        <w:rPr>
          <w:rFonts w:ascii="Times New Roman" w:hAnsi="Times New Roman"/>
          <w:color w:val="000000"/>
          <w:sz w:val="20"/>
          <w:szCs w:val="20"/>
          <w:shd w:fill="FFFFFF" w:val="clear"/>
        </w:rPr>
      </w:r>
    </w:p>
    <w:p>
      <w:pPr>
        <w:pStyle w:val="Normal"/>
        <w:spacing w:lineRule="auto" w:line="240" w:before="0" w:after="0"/>
        <w:ind w:left="6373" w:firstLine="720"/>
        <w:jc w:val="right"/>
        <w:rPr>
          <w:rFonts w:ascii="Times New Roman" w:hAnsi="Times New Roman"/>
          <w:color w:val="000000"/>
          <w:sz w:val="20"/>
          <w:szCs w:val="20"/>
          <w:shd w:fill="FFFFFF" w:val="clear"/>
        </w:rPr>
      </w:pPr>
      <w:r>
        <w:rPr>
          <w:rFonts w:ascii="Times New Roman" w:hAnsi="Times New Roman"/>
          <w:color w:val="000000"/>
          <w:sz w:val="20"/>
          <w:szCs w:val="20"/>
          <w:shd w:fill="FFFFFF" w:val="clear"/>
        </w:rPr>
      </w:r>
    </w:p>
    <w:p>
      <w:pPr>
        <w:pStyle w:val="Normal"/>
        <w:spacing w:lineRule="auto" w:line="240" w:before="0" w:after="0"/>
        <w:ind w:left="6373" w:firstLine="720"/>
        <w:jc w:val="right"/>
        <w:rPr>
          <w:rFonts w:ascii="Times New Roman" w:hAnsi="Times New Roman"/>
          <w:color w:val="000000"/>
          <w:sz w:val="20"/>
          <w:szCs w:val="20"/>
          <w:shd w:fill="FFFFFF" w:val="clear"/>
        </w:rPr>
      </w:pPr>
      <w:r>
        <w:rPr>
          <w:rFonts w:ascii="Times New Roman" w:hAnsi="Times New Roman"/>
          <w:color w:val="000000"/>
          <w:sz w:val="20"/>
          <w:szCs w:val="20"/>
          <w:shd w:fill="FFFFFF" w:val="clear"/>
        </w:rPr>
      </w:r>
    </w:p>
    <w:p>
      <w:pPr>
        <w:pStyle w:val="Normal"/>
        <w:spacing w:lineRule="auto" w:line="240" w:before="0" w:after="0"/>
        <w:ind w:left="6373" w:firstLine="720"/>
        <w:jc w:val="right"/>
        <w:rPr>
          <w:rFonts w:ascii="Times New Roman" w:hAnsi="Times New Roman"/>
          <w:color w:val="000000"/>
          <w:sz w:val="20"/>
          <w:szCs w:val="20"/>
          <w:shd w:fill="FFFFFF" w:val="clear"/>
        </w:rPr>
      </w:pPr>
      <w:r>
        <w:rPr>
          <w:rFonts w:ascii="Times New Roman" w:hAnsi="Times New Roman"/>
          <w:color w:val="000000"/>
          <w:sz w:val="20"/>
          <w:szCs w:val="20"/>
          <w:shd w:fill="FFFFFF" w:val="clear"/>
        </w:rPr>
      </w:r>
    </w:p>
    <w:p>
      <w:pPr>
        <w:pStyle w:val="Normal"/>
        <w:spacing w:lineRule="auto" w:line="240" w:before="0" w:after="0"/>
        <w:ind w:left="6373" w:firstLine="720"/>
        <w:jc w:val="right"/>
        <w:rPr>
          <w:rFonts w:ascii="Times New Roman" w:hAnsi="Times New Roman"/>
          <w:color w:val="000000"/>
          <w:sz w:val="20"/>
          <w:szCs w:val="20"/>
          <w:shd w:fill="FFFFFF" w:val="clear"/>
        </w:rPr>
      </w:pPr>
      <w:r>
        <w:rPr>
          <w:rFonts w:ascii="Times New Roman" w:hAnsi="Times New Roman"/>
          <w:color w:val="000000"/>
          <w:sz w:val="20"/>
          <w:szCs w:val="20"/>
          <w:shd w:fill="FFFFFF" w:val="clear"/>
        </w:rPr>
      </w:r>
    </w:p>
    <w:p>
      <w:pPr>
        <w:pStyle w:val="Normal"/>
        <w:spacing w:lineRule="auto" w:line="240" w:before="0" w:after="0"/>
        <w:ind w:left="6373" w:firstLine="720"/>
        <w:jc w:val="right"/>
        <w:rPr>
          <w:rFonts w:ascii="Times New Roman" w:hAnsi="Times New Roman"/>
          <w:color w:val="000000"/>
          <w:sz w:val="20"/>
          <w:szCs w:val="20"/>
          <w:shd w:fill="FFFFFF" w:val="clear"/>
        </w:rPr>
      </w:pPr>
      <w:r>
        <w:rPr>
          <w:rFonts w:ascii="Times New Roman" w:hAnsi="Times New Roman"/>
          <w:color w:val="000000"/>
          <w:sz w:val="20"/>
          <w:szCs w:val="20"/>
          <w:shd w:fill="FFFFFF" w:val="clear"/>
        </w:rPr>
      </w:r>
    </w:p>
    <w:p>
      <w:pPr>
        <w:pStyle w:val="Normal"/>
        <w:spacing w:lineRule="auto" w:line="240" w:before="0" w:after="0"/>
        <w:ind w:left="6373" w:firstLine="720"/>
        <w:jc w:val="right"/>
        <w:rPr>
          <w:rFonts w:ascii="Times New Roman" w:hAnsi="Times New Roman"/>
          <w:color w:val="000000"/>
          <w:sz w:val="20"/>
          <w:szCs w:val="20"/>
          <w:shd w:fill="FFFFFF" w:val="clear"/>
        </w:rPr>
      </w:pPr>
      <w:r>
        <w:rPr>
          <w:rFonts w:ascii="Times New Roman" w:hAnsi="Times New Roman"/>
          <w:color w:val="000000"/>
          <w:sz w:val="20"/>
          <w:szCs w:val="20"/>
          <w:shd w:fill="FFFFFF" w:val="clear"/>
        </w:rPr>
      </w:r>
    </w:p>
    <w:p>
      <w:pPr>
        <w:sectPr>
          <w:footnotePr>
            <w:numFmt w:val="decimal"/>
            <w:numRestart w:val="eachPage"/>
          </w:footnotePr>
          <w:type w:val="nextPage"/>
          <w:pgSz w:orient="landscape" w:w="16838" w:h="11906"/>
          <w:pgMar w:left="720" w:right="284" w:gutter="0" w:header="0" w:top="426" w:footer="0" w:bottom="924"/>
          <w:pgNumType w:fmt="decimal"/>
          <w:formProt w:val="false"/>
          <w:textDirection w:val="lrTb"/>
          <w:docGrid w:type="default" w:linePitch="360" w:charSpace="20480"/>
        </w:sectPr>
        <w:pStyle w:val="Normal"/>
        <w:spacing w:lineRule="auto" w:line="240" w:before="0" w:after="0"/>
        <w:ind w:left="6373" w:firstLine="720"/>
        <w:jc w:val="right"/>
        <w:rPr>
          <w:rFonts w:ascii="Times New Roman" w:hAnsi="Times New Roman"/>
          <w:color w:val="000000"/>
          <w:sz w:val="20"/>
          <w:szCs w:val="20"/>
          <w:shd w:fill="FFFFFF" w:val="clear"/>
        </w:rPr>
      </w:pPr>
      <w:r>
        <w:rPr>
          <w:rFonts w:ascii="Times New Roman" w:hAnsi="Times New Roman"/>
          <w:color w:val="000000"/>
          <w:sz w:val="20"/>
          <w:szCs w:val="20"/>
          <w:shd w:fill="FFFFFF" w:val="clear"/>
        </w:rPr>
      </w:r>
    </w:p>
    <w:p>
      <w:pPr>
        <w:pStyle w:val="Normal"/>
        <w:spacing w:lineRule="auto" w:line="240" w:before="0" w:after="0"/>
        <w:ind w:left="5811" w:firstLine="720"/>
        <w:jc w:val="right"/>
        <w:rPr>
          <w:rFonts w:ascii="Times New Roman" w:hAnsi="Times New Roman"/>
          <w:color w:val="000000"/>
          <w:sz w:val="20"/>
          <w:szCs w:val="20"/>
          <w:shd w:fill="FFFFFF" w:val="clear"/>
        </w:rPr>
      </w:pPr>
      <w:r>
        <w:rPr>
          <w:rFonts w:ascii="Times New Roman" w:hAnsi="Times New Roman"/>
          <w:color w:val="000000"/>
          <w:sz w:val="20"/>
          <w:szCs w:val="20"/>
          <w:shd w:fill="FFFFFF" w:val="clear"/>
        </w:rPr>
      </w:r>
    </w:p>
    <w:p>
      <w:pPr>
        <w:pStyle w:val="Normal"/>
        <w:spacing w:lineRule="auto" w:line="240" w:before="0" w:after="0"/>
        <w:ind w:left="5811" w:hanging="0"/>
        <w:jc w:val="right"/>
        <w:rPr>
          <w:shd w:fill="FFFFFF" w:val="clear"/>
        </w:rPr>
      </w:pPr>
      <w:r>
        <w:rPr>
          <w:rFonts w:ascii="Times New Roman" w:hAnsi="Times New Roman"/>
          <w:color w:val="000000"/>
          <w:sz w:val="20"/>
          <w:szCs w:val="20"/>
          <w:shd w:fill="FFFFFF" w:val="clear"/>
        </w:rPr>
        <w:t xml:space="preserve">Приложение № 2 </w:t>
      </w:r>
    </w:p>
    <w:p>
      <w:pPr>
        <w:pStyle w:val="Normal"/>
        <w:spacing w:lineRule="auto" w:line="240" w:before="0" w:after="0"/>
        <w:ind w:left="5811" w:firstLine="142"/>
        <w:jc w:val="right"/>
        <w:rPr>
          <w:shd w:fill="FFFFFF" w:val="clear"/>
        </w:rPr>
      </w:pPr>
      <w:r>
        <w:rPr>
          <w:rFonts w:ascii="Times New Roman" w:hAnsi="Times New Roman"/>
          <w:color w:val="000000"/>
          <w:sz w:val="20"/>
          <w:szCs w:val="20"/>
          <w:shd w:fill="FFFFFF" w:val="clear"/>
        </w:rPr>
        <w:t>к Требованиям к оформлению и составлению сметной документации на выполнение строительно-монтажных работ по программе ремонтов, реконструкции и техническому перевооружению</w:t>
      </w:r>
    </w:p>
    <w:p>
      <w:pPr>
        <w:pStyle w:val="Normal"/>
        <w:shd w:val="clear" w:color="auto" w:fill="FFFFFF"/>
        <w:spacing w:lineRule="auto" w:line="240" w:before="0" w:after="0"/>
        <w:ind w:left="142" w:hanging="142"/>
        <w:rPr>
          <w:shd w:fill="FFFFFF" w:val="clear"/>
        </w:rPr>
      </w:pPr>
      <w:r>
        <w:rPr>
          <w:rFonts w:ascii="Times New Roman" w:hAnsi="Times New Roman"/>
          <w:b/>
          <w:shd w:fill="FFFFFF" w:val="clear"/>
        </w:rPr>
        <w:t>Образец № 3п</w:t>
      </w:r>
    </w:p>
    <w:tbl>
      <w:tblPr>
        <w:tblW w:w="9989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9989"/>
      </w:tblGrid>
      <w:tr>
        <w:trPr/>
        <w:tc>
          <w:tcPr>
            <w:tcW w:w="9989" w:type="dxa"/>
            <w:tcBorders/>
          </w:tcPr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ind w:left="6523" w:hanging="284"/>
              <w:rPr>
                <w:shd w:fill="FFFFFF" w:val="clear"/>
              </w:rPr>
            </w:pPr>
            <w:r>
              <w:rPr>
                <w:rFonts w:ascii="Times New Roman" w:hAnsi="Times New Roman"/>
                <w:shd w:fill="FFFFFF" w:val="clear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  <w:t>Приложение №_____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ind w:left="6239" w:right="-284" w:hanging="0"/>
              <w:rPr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  <w:t xml:space="preserve">к договору от ______№_______ 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ind w:left="6239" w:right="-284" w:hanging="0"/>
              <w:rPr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  <w:t>(дополнительному соглашению)</w:t>
            </w:r>
          </w:p>
          <w:tbl>
            <w:tblPr>
              <w:tblW w:w="9564" w:type="dxa"/>
              <w:jc w:val="left"/>
              <w:tblInd w:w="0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  <w:tblLook w:val="04a0" w:noVBand="1" w:noHBand="0" w:lastColumn="0" w:firstColumn="1" w:lastRow="0" w:firstRow="1"/>
            </w:tblPr>
            <w:tblGrid>
              <w:gridCol w:w="4430"/>
              <w:gridCol w:w="5133"/>
            </w:tblGrid>
            <w:tr>
              <w:trPr>
                <w:trHeight w:val="446" w:hRule="atLeast"/>
              </w:trPr>
              <w:tc>
                <w:tcPr>
                  <w:tcW w:w="4430" w:type="dxa"/>
                  <w:tcBorders/>
                  <w:vAlign w:val="bottom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  <w:b/>
                      <w:bCs/>
                      <w:shd w:fill="FFFFFF" w:val="clear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hd w:fill="FFFFFF" w:val="clear"/>
                    </w:rPr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shd w:fill="FFFFFF" w:val="clear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hd w:fill="FFFFFF" w:val="clear"/>
                    </w:rPr>
                    <w:t>СОГЛАСОВАНО:</w:t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shd w:fill="FFFFFF" w:val="clear"/>
                    </w:rPr>
                  </w:pPr>
                  <w:r>
                    <w:rPr>
                      <w:rFonts w:ascii="Times New Roman" w:hAnsi="Times New Roman"/>
                      <w:shd w:fill="FFFFFF" w:val="clear"/>
                    </w:rPr>
                    <w:t>________________(Подрядчик)</w:t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shd w:fill="FFFFFF" w:val="clear"/>
                    </w:rPr>
                  </w:pPr>
                  <w:r>
                    <w:rPr>
                      <w:rFonts w:ascii="Times New Roman" w:hAnsi="Times New Roman"/>
                      <w:shd w:fill="FFFFFF" w:val="clear"/>
                    </w:rPr>
                    <w:t>________________ Ф.И.О</w:t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  <w:shd w:fill="FFFFFF" w:val="clear"/>
                    </w:rPr>
                  </w:pPr>
                  <w:r>
                    <w:rPr>
                      <w:rFonts w:ascii="Times New Roman" w:hAnsi="Times New Roman"/>
                      <w:shd w:fill="FFFFFF" w:val="clear"/>
                    </w:rPr>
                  </w:r>
                </w:p>
              </w:tc>
              <w:tc>
                <w:tcPr>
                  <w:tcW w:w="5133" w:type="dxa"/>
                  <w:tcBorders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  <w:b/>
                      <w:bCs/>
                      <w:shd w:fill="FFFFFF" w:val="clear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hd w:fill="FFFFFF" w:val="clear"/>
                    </w:rPr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ind w:left="1886" w:hanging="0"/>
                    <w:rPr>
                      <w:shd w:fill="FFFFFF" w:val="clear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hd w:fill="FFFFFF" w:val="clear"/>
                    </w:rPr>
                    <w:t>УТВЕРЖДАЮ:</w:t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ind w:left="1886" w:hanging="0"/>
                    <w:rPr>
                      <w:shd w:fill="FFFFFF" w:val="clear"/>
                    </w:rPr>
                  </w:pPr>
                  <w:r>
                    <w:rPr>
                      <w:rFonts w:ascii="Times New Roman" w:hAnsi="Times New Roman"/>
                      <w:bCs/>
                      <w:shd w:fill="FFFFFF" w:val="clear"/>
                    </w:rPr>
                    <w:t>_________________(Заказчик)</w:t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ind w:left="1886" w:hanging="0"/>
                    <w:rPr>
                      <w:shd w:fill="FFFFFF" w:val="clear"/>
                    </w:rPr>
                  </w:pPr>
                  <w:r>
                    <w:rPr>
                      <w:rFonts w:ascii="Times New Roman" w:hAnsi="Times New Roman"/>
                      <w:shd w:fill="FFFFFF" w:val="clear"/>
                    </w:rPr>
                    <w:t>_________________Ф.И.О.</w:t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  <w:b/>
                      <w:bCs/>
                      <w:shd w:fill="FFFFFF" w:val="clear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hd w:fill="FFFFFF" w:val="clear"/>
                    </w:rPr>
                  </w:r>
                </w:p>
              </w:tc>
            </w:tr>
          </w:tbl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jc w:val="center"/>
              <w:rPr>
                <w:shd w:fill="FFFFFF" w:val="clear"/>
              </w:rPr>
            </w:pPr>
            <w:r>
              <w:rPr>
                <w:rFonts w:ascii="Times New Roman" w:hAnsi="Times New Roman"/>
                <w:b/>
                <w:bCs/>
                <w:shd w:fill="FFFFFF" w:val="clear"/>
              </w:rPr>
              <w:t xml:space="preserve">Смета № </w:t>
              <w:br/>
              <w:t>на шеф - монтажные работы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  <w:shd w:fill="FFFFFF" w:val="clear"/>
              </w:rPr>
            </w:pPr>
            <w:r>
              <w:rPr>
                <w:rFonts w:ascii="Times New Roman" w:hAnsi="Times New Roman"/>
                <w:shd w:fill="FFFFFF" w:val="clear"/>
              </w:rPr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shd w:fill="FFFFFF" w:val="clear"/>
              </w:rPr>
            </w:pPr>
            <w:r>
              <w:rPr>
                <w:rFonts w:ascii="Times New Roman" w:hAnsi="Times New Roman"/>
                <w:shd w:fill="FFFFFF" w:val="clear"/>
              </w:rPr>
              <w:t>Наименование предприятия, здания, сооружения, вида шеф-монтажных работ_____________________________________________________________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shd w:fill="FFFFFF" w:val="clear"/>
              </w:rPr>
            </w:pPr>
            <w:r>
              <w:rPr>
                <w:rFonts w:ascii="Times New Roman" w:hAnsi="Times New Roman"/>
                <w:shd w:fill="FFFFFF" w:val="clear"/>
              </w:rPr>
              <w:t>__________________________________________________________________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shd w:fill="FFFFFF" w:val="clear"/>
              </w:rPr>
            </w:pPr>
            <w:r>
              <w:rPr>
                <w:rFonts w:ascii="Times New Roman" w:hAnsi="Times New Roman"/>
                <w:shd w:fill="FFFFFF" w:val="clear"/>
              </w:rPr>
              <w:t>Наименование монтажной организации ________________________________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shd w:fill="FFFFFF" w:val="clear"/>
              </w:rPr>
            </w:pPr>
            <w:r>
              <w:rPr>
                <w:rFonts w:ascii="Times New Roman" w:hAnsi="Times New Roman"/>
                <w:shd w:fill="FFFFFF" w:val="clear"/>
              </w:rPr>
              <w:t>Наименование организации заказчика _________________________________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shd w:fill="FFFFFF" w:val="clear"/>
              </w:rPr>
            </w:pPr>
            <w:r>
              <w:rPr>
                <w:rFonts w:ascii="Times New Roman" w:hAnsi="Times New Roman"/>
                <w:shd w:fill="FFFFFF" w:val="clear"/>
              </w:rPr>
              <w:t>Составлена в текущих ценах, соответствующих периоду выполнения работ по договору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  <w:shd w:fill="FFFFFF" w:val="clear"/>
              </w:rPr>
            </w:pPr>
            <w:r>
              <w:rPr>
                <w:rFonts w:ascii="Times New Roman" w:hAnsi="Times New Roman"/>
                <w:shd w:fill="FFFFFF" w:val="clear"/>
              </w:rPr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shd w:fill="FFFFFF" w:val="clear"/>
              </w:rPr>
            </w:pPr>
            <w:r>
              <w:rPr>
                <w:rFonts w:ascii="Times New Roman" w:hAnsi="Times New Roman"/>
                <w:b/>
                <w:shd w:fill="FFFFFF" w:val="clear"/>
              </w:rPr>
              <w:t>1. Расчет заработной платы</w:t>
            </w:r>
            <w:r>
              <w:rPr>
                <w:rFonts w:ascii="Times New Roman" w:hAnsi="Times New Roman"/>
                <w:shd w:fill="FFFFFF" w:val="clear"/>
              </w:rPr>
              <w:tab/>
              <w:tab/>
              <w:tab/>
              <w:tab/>
              <w:tab/>
              <w:tab/>
              <w:tab/>
              <w:tab/>
              <w:t>руб.</w:t>
            </w:r>
          </w:p>
          <w:tbl>
            <w:tblPr>
              <w:tblW w:w="9649" w:type="dxa"/>
              <w:jc w:val="center"/>
              <w:tblInd w:w="0" w:type="dxa"/>
              <w:tblLayout w:type="fixed"/>
              <w:tblCellMar>
                <w:top w:w="0" w:type="dxa"/>
                <w:left w:w="28" w:type="dxa"/>
                <w:bottom w:w="0" w:type="dxa"/>
                <w:right w:w="28" w:type="dxa"/>
              </w:tblCellMar>
              <w:tblLook w:val="04a0" w:noVBand="1" w:noHBand="0" w:lastColumn="0" w:firstColumn="1" w:lastRow="0" w:firstRow="1"/>
            </w:tblPr>
            <w:tblGrid>
              <w:gridCol w:w="577"/>
              <w:gridCol w:w="2207"/>
              <w:gridCol w:w="1111"/>
              <w:gridCol w:w="1185"/>
              <w:gridCol w:w="1413"/>
              <w:gridCol w:w="1424"/>
              <w:gridCol w:w="1731"/>
            </w:tblGrid>
            <w:tr>
              <w:trPr>
                <w:tblHeader w:val="true"/>
              </w:trPr>
              <w:tc>
                <w:tcPr>
                  <w:tcW w:w="577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jc w:val="center"/>
                    <w:rPr>
                      <w:shd w:fill="FFFFFF" w:val="clear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shd w:fill="FFFFFF" w:val="clear"/>
                    </w:rPr>
                    <w:t xml:space="preserve">№ </w:t>
                  </w:r>
                  <w:r>
                    <w:rPr>
                      <w:rFonts w:ascii="Times New Roman" w:hAnsi="Times New Roman"/>
                      <w:sz w:val="20"/>
                      <w:szCs w:val="20"/>
                      <w:shd w:fill="FFFFFF" w:val="clear"/>
                    </w:rPr>
                    <w:t>п</w:t>
                  </w:r>
                  <w:r>
                    <w:rPr>
                      <w:rFonts w:ascii="Times New Roman" w:hAnsi="Times New Roman"/>
                      <w:sz w:val="20"/>
                      <w:szCs w:val="20"/>
                      <w:shd w:fill="FFFFFF" w:val="clear"/>
                      <w:lang w:val="en-US"/>
                    </w:rPr>
                    <w:t>/</w:t>
                  </w:r>
                  <w:r>
                    <w:rPr>
                      <w:rFonts w:ascii="Times New Roman" w:hAnsi="Times New Roman"/>
                      <w:sz w:val="20"/>
                      <w:szCs w:val="20"/>
                      <w:shd w:fill="FFFFFF" w:val="clear"/>
                    </w:rPr>
                    <w:t>п.</w:t>
                  </w:r>
                </w:p>
              </w:tc>
              <w:tc>
                <w:tcPr>
                  <w:tcW w:w="2207" w:type="dxa"/>
                  <w:vMerge w:val="restart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jc w:val="center"/>
                    <w:rPr>
                      <w:shd w:fill="FFFFFF" w:val="clear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shd w:fill="FFFFFF" w:val="clear"/>
                    </w:rPr>
                    <w:t>Перечень выполняемых работ</w:t>
                  </w:r>
                </w:p>
              </w:tc>
              <w:tc>
                <w:tcPr>
                  <w:tcW w:w="2296" w:type="dxa"/>
                  <w:gridSpan w:val="2"/>
                  <w:tcBorders>
                    <w:top w:val="single" w:sz="6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jc w:val="center"/>
                    <w:rPr>
                      <w:shd w:fill="FFFFFF" w:val="clear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shd w:fill="FFFFFF" w:val="clear"/>
                    </w:rPr>
                    <w:t>Исполнители</w:t>
                  </w:r>
                </w:p>
              </w:tc>
              <w:tc>
                <w:tcPr>
                  <w:tcW w:w="1413" w:type="dxa"/>
                  <w:vMerge w:val="restart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jc w:val="center"/>
                    <w:rPr>
                      <w:shd w:fill="FFFFFF" w:val="clear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shd w:fill="FFFFFF" w:val="clear"/>
                    </w:rPr>
                    <w:t>Количество человеко-дней</w:t>
                  </w:r>
                </w:p>
              </w:tc>
              <w:tc>
                <w:tcPr>
                  <w:tcW w:w="1424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jc w:val="center"/>
                    <w:rPr>
                      <w:shd w:fill="FFFFFF" w:val="clear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shd w:fill="FFFFFF" w:val="clear"/>
                    </w:rPr>
                    <w:t>Средняя оплата труда</w:t>
                  </w:r>
                </w:p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jc w:val="center"/>
                    <w:rPr>
                      <w:shd w:fill="FFFFFF" w:val="clear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shd w:fill="FFFFFF" w:val="clear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0"/>
                      <w:szCs w:val="20"/>
                      <w:shd w:fill="FFFFFF" w:val="clear"/>
                    </w:rPr>
                    <w:t>за 1 день</w:t>
                  </w:r>
                </w:p>
              </w:tc>
              <w:tc>
                <w:tcPr>
                  <w:tcW w:w="1731" w:type="dxa"/>
                  <w:vMerge w:val="restart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jc w:val="center"/>
                    <w:rPr>
                      <w:shd w:fill="FFFFFF" w:val="clear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shd w:fill="FFFFFF" w:val="clear"/>
                    </w:rPr>
                    <w:t>Оплата труда (всего)</w:t>
                  </w:r>
                </w:p>
              </w:tc>
            </w:tr>
            <w:tr>
              <w:trPr>
                <w:tblHeader w:val="true"/>
              </w:trPr>
              <w:tc>
                <w:tcPr>
                  <w:tcW w:w="577" w:type="dxa"/>
                  <w:vMerge w:val="continue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tcMar>
                    <w:left w:w="7" w:type="dxa"/>
                    <w:right w:w="2" w:type="dxa"/>
                  </w:tcMar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  <w:shd w:fill="FFFFFF" w:val="clear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shd w:fill="FFFFFF" w:val="clear"/>
                    </w:rPr>
                  </w:r>
                </w:p>
              </w:tc>
              <w:tc>
                <w:tcPr>
                  <w:tcW w:w="2207" w:type="dxa"/>
                  <w:vMerge w:val="continue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tcMar>
                    <w:left w:w="7" w:type="dxa"/>
                    <w:right w:w="2" w:type="dxa"/>
                  </w:tcMar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  <w:shd w:fill="FFFFFF" w:val="clear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shd w:fill="FFFFFF" w:val="clear"/>
                    </w:rPr>
                  </w:r>
                </w:p>
              </w:tc>
              <w:tc>
                <w:tcPr>
                  <w:tcW w:w="1111" w:type="dxa"/>
                  <w:tcBorders>
                    <w:top w:val="single" w:sz="2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shd w:fill="FFFFFF" w:val="clear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shd w:fill="FFFFFF" w:val="clear"/>
                    </w:rPr>
                    <w:t>количество</w:t>
                  </w:r>
                </w:p>
              </w:tc>
              <w:tc>
                <w:tcPr>
                  <w:tcW w:w="1185" w:type="dxa"/>
                  <w:tcBorders>
                    <w:top w:val="single" w:sz="2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shd w:fill="FFFFFF" w:val="clear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shd w:fill="FFFFFF" w:val="clear"/>
                    </w:rPr>
                    <w:t>должность</w:t>
                  </w:r>
                </w:p>
              </w:tc>
              <w:tc>
                <w:tcPr>
                  <w:tcW w:w="1413" w:type="dxa"/>
                  <w:vMerge w:val="continue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color="auto" w:fill="FFFFFF" w:val="clear"/>
                  <w:tcMar>
                    <w:left w:w="7" w:type="dxa"/>
                    <w:right w:w="2" w:type="dxa"/>
                  </w:tcMar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  <w:shd w:fill="FFFFFF" w:val="clear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shd w:fill="FFFFFF" w:val="clear"/>
                    </w:rPr>
                  </w:r>
                </w:p>
              </w:tc>
              <w:tc>
                <w:tcPr>
                  <w:tcW w:w="1424" w:type="dxa"/>
                  <w:vMerge w:val="continue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tcMar>
                    <w:left w:w="7" w:type="dxa"/>
                    <w:right w:w="2" w:type="dxa"/>
                  </w:tcMar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  <w:shd w:fill="FFFFFF" w:val="clear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shd w:fill="FFFFFF" w:val="clear"/>
                    </w:rPr>
                  </w:r>
                </w:p>
              </w:tc>
              <w:tc>
                <w:tcPr>
                  <w:tcW w:w="1731" w:type="dxa"/>
                  <w:vMerge w:val="continue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color="auto" w:fill="FFFFFF" w:val="clear"/>
                  <w:tcMar>
                    <w:left w:w="7" w:type="dxa"/>
                    <w:right w:w="2" w:type="dxa"/>
                  </w:tcMar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  <w:shd w:fill="FFFFFF" w:val="clear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shd w:fill="FFFFFF" w:val="clear"/>
                    </w:rPr>
                  </w:r>
                </w:p>
              </w:tc>
            </w:tr>
            <w:tr>
              <w:trPr>
                <w:tblHeader w:val="true"/>
              </w:trPr>
              <w:tc>
                <w:tcPr>
                  <w:tcW w:w="57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jc w:val="center"/>
                    <w:rPr>
                      <w:shd w:fill="FFFFFF" w:val="clear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shd w:fill="FFFFFF" w:val="clear"/>
                    </w:rPr>
                    <w:t>1</w:t>
                  </w:r>
                </w:p>
              </w:tc>
              <w:tc>
                <w:tcPr>
                  <w:tcW w:w="2207" w:type="dxa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jc w:val="center"/>
                    <w:rPr>
                      <w:shd w:fill="FFFFFF" w:val="clear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shd w:fill="FFFFFF" w:val="clear"/>
                    </w:rPr>
                    <w:t>2</w:t>
                  </w:r>
                </w:p>
              </w:tc>
              <w:tc>
                <w:tcPr>
                  <w:tcW w:w="1111" w:type="dxa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jc w:val="center"/>
                    <w:rPr>
                      <w:shd w:fill="FFFFFF" w:val="clear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shd w:fill="FFFFFF" w:val="clear"/>
                    </w:rPr>
                    <w:t>3</w:t>
                  </w:r>
                </w:p>
              </w:tc>
              <w:tc>
                <w:tcPr>
                  <w:tcW w:w="1185" w:type="dxa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jc w:val="center"/>
                    <w:rPr>
                      <w:shd w:fill="FFFFFF" w:val="clear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shd w:fill="FFFFFF" w:val="clear"/>
                    </w:rPr>
                    <w:t>4</w:t>
                  </w:r>
                </w:p>
              </w:tc>
              <w:tc>
                <w:tcPr>
                  <w:tcW w:w="1413" w:type="dxa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jc w:val="center"/>
                    <w:rPr>
                      <w:shd w:fill="FFFFFF" w:val="clear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shd w:fill="FFFFFF" w:val="clear"/>
                    </w:rPr>
                    <w:t>5</w:t>
                  </w:r>
                </w:p>
              </w:tc>
              <w:tc>
                <w:tcPr>
                  <w:tcW w:w="142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jc w:val="center"/>
                    <w:rPr>
                      <w:shd w:fill="FFFFFF" w:val="clear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shd w:fill="FFFFFF" w:val="clear"/>
                    </w:rPr>
                    <w:t>6</w:t>
                  </w:r>
                </w:p>
              </w:tc>
              <w:tc>
                <w:tcPr>
                  <w:tcW w:w="1731" w:type="dxa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jc w:val="center"/>
                    <w:rPr>
                      <w:shd w:fill="FFFFFF" w:val="clear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shd w:fill="FFFFFF" w:val="clear"/>
                    </w:rPr>
                    <w:t>7</w:t>
                  </w:r>
                </w:p>
              </w:tc>
            </w:tr>
            <w:tr>
              <w:trPr/>
              <w:tc>
                <w:tcPr>
                  <w:tcW w:w="577" w:type="dxa"/>
                  <w:tcBorders>
                    <w:top w:val="single" w:sz="6" w:space="0" w:color="000000"/>
                    <w:left w:val="single" w:sz="6" w:space="0" w:color="000000"/>
                    <w:bottom w:val="single" w:sz="2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shd w:fill="FFFFFF" w:val="clear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shd w:fill="FFFFFF" w:val="clear"/>
                    </w:rPr>
                    <w:t> </w:t>
                  </w:r>
                </w:p>
              </w:tc>
              <w:tc>
                <w:tcPr>
                  <w:tcW w:w="2207" w:type="dxa"/>
                  <w:tcBorders>
                    <w:top w:val="single" w:sz="6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shd w:fill="FFFFFF" w:val="clear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shd w:fill="FFFFFF" w:val="clear"/>
                    </w:rPr>
                    <w:t> </w:t>
                  </w:r>
                </w:p>
              </w:tc>
              <w:tc>
                <w:tcPr>
                  <w:tcW w:w="1111" w:type="dxa"/>
                  <w:tcBorders>
                    <w:top w:val="single" w:sz="6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shd w:fill="FFFFFF" w:val="clear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shd w:fill="FFFFFF" w:val="clear"/>
                    </w:rPr>
                    <w:t> </w:t>
                  </w:r>
                </w:p>
              </w:tc>
              <w:tc>
                <w:tcPr>
                  <w:tcW w:w="1185" w:type="dxa"/>
                  <w:tcBorders>
                    <w:top w:val="single" w:sz="6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shd w:fill="FFFFFF" w:val="clear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shd w:fill="FFFFFF" w:val="clear"/>
                    </w:rPr>
                    <w:t> </w:t>
                  </w:r>
                </w:p>
              </w:tc>
              <w:tc>
                <w:tcPr>
                  <w:tcW w:w="1413" w:type="dxa"/>
                  <w:tcBorders>
                    <w:top w:val="single" w:sz="6" w:space="0" w:color="000000"/>
                    <w:left w:val="single" w:sz="2" w:space="0" w:color="000000"/>
                    <w:bottom w:val="single" w:sz="2" w:space="0" w:color="000000"/>
                    <w:right w:val="single" w:sz="6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shd w:fill="FFFFFF" w:val="clear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shd w:fill="FFFFFF" w:val="clear"/>
                    </w:rPr>
                    <w:t> </w:t>
                  </w:r>
                </w:p>
              </w:tc>
              <w:tc>
                <w:tcPr>
                  <w:tcW w:w="1424" w:type="dxa"/>
                  <w:tcBorders>
                    <w:top w:val="single" w:sz="6" w:space="0" w:color="000000"/>
                    <w:left w:val="single" w:sz="6" w:space="0" w:color="000000"/>
                    <w:bottom w:val="single" w:sz="2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shd w:fill="FFFFFF" w:val="clear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shd w:fill="FFFFFF" w:val="clear"/>
                    </w:rPr>
                    <w:t> </w:t>
                  </w:r>
                </w:p>
              </w:tc>
              <w:tc>
                <w:tcPr>
                  <w:tcW w:w="1731" w:type="dxa"/>
                  <w:tcBorders>
                    <w:top w:val="single" w:sz="6" w:space="0" w:color="000000"/>
                    <w:left w:val="single" w:sz="2" w:space="0" w:color="000000"/>
                    <w:bottom w:val="single" w:sz="2" w:space="0" w:color="000000"/>
                    <w:right w:val="single" w:sz="6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shd w:fill="FFFFFF" w:val="clear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shd w:fill="FFFFFF" w:val="clear"/>
                    </w:rPr>
                    <w:t> </w:t>
                  </w:r>
                </w:p>
              </w:tc>
            </w:tr>
            <w:tr>
              <w:trPr/>
              <w:tc>
                <w:tcPr>
                  <w:tcW w:w="577" w:type="dxa"/>
                  <w:tcBorders>
                    <w:top w:val="single" w:sz="2" w:space="0" w:color="000000"/>
                    <w:left w:val="single" w:sz="6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shd w:fill="FFFFFF" w:val="clear"/>
                    </w:rPr>
                  </w:pPr>
                  <w:r>
                    <w:rPr>
                      <w:rFonts w:ascii="Times New Roman" w:hAnsi="Times New Roman"/>
                      <w:shd w:fill="FFFFFF" w:val="clear"/>
                    </w:rPr>
                    <w:t> </w:t>
                  </w:r>
                </w:p>
              </w:tc>
              <w:tc>
                <w:tcPr>
                  <w:tcW w:w="2207" w:type="dxa"/>
                  <w:tcBorders>
                    <w:top w:val="single" w:sz="2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shd w:fill="FFFFFF" w:val="clear"/>
                    </w:rPr>
                  </w:pPr>
                  <w:r>
                    <w:rPr>
                      <w:rFonts w:ascii="Times New Roman" w:hAnsi="Times New Roman"/>
                      <w:shd w:fill="FFFFFF" w:val="clear"/>
                    </w:rPr>
                    <w:t> </w:t>
                  </w:r>
                </w:p>
              </w:tc>
              <w:tc>
                <w:tcPr>
                  <w:tcW w:w="1111" w:type="dxa"/>
                  <w:tcBorders>
                    <w:top w:val="single" w:sz="2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shd w:fill="FFFFFF" w:val="clear"/>
                    </w:rPr>
                  </w:pPr>
                  <w:r>
                    <w:rPr>
                      <w:rFonts w:ascii="Times New Roman" w:hAnsi="Times New Roman"/>
                      <w:shd w:fill="FFFFFF" w:val="clear"/>
                    </w:rPr>
                    <w:t> </w:t>
                  </w:r>
                </w:p>
              </w:tc>
              <w:tc>
                <w:tcPr>
                  <w:tcW w:w="1185" w:type="dxa"/>
                  <w:tcBorders>
                    <w:top w:val="single" w:sz="2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shd w:fill="FFFFFF" w:val="clear"/>
                    </w:rPr>
                  </w:pPr>
                  <w:r>
                    <w:rPr>
                      <w:rFonts w:ascii="Times New Roman" w:hAnsi="Times New Roman"/>
                      <w:shd w:fill="FFFFFF" w:val="clear"/>
                    </w:rPr>
                    <w:t> </w:t>
                  </w:r>
                </w:p>
              </w:tc>
              <w:tc>
                <w:tcPr>
                  <w:tcW w:w="1413" w:type="dxa"/>
                  <w:tcBorders>
                    <w:top w:val="single" w:sz="2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shd w:fill="FFFFFF" w:val="clear"/>
                    </w:rPr>
                  </w:pPr>
                  <w:r>
                    <w:rPr>
                      <w:rFonts w:ascii="Times New Roman" w:hAnsi="Times New Roman"/>
                      <w:shd w:fill="FFFFFF" w:val="clear"/>
                    </w:rPr>
                    <w:t> </w:t>
                  </w:r>
                </w:p>
              </w:tc>
              <w:tc>
                <w:tcPr>
                  <w:tcW w:w="1424" w:type="dxa"/>
                  <w:tcBorders>
                    <w:top w:val="single" w:sz="2" w:space="0" w:color="000000"/>
                    <w:left w:val="single" w:sz="6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shd w:fill="FFFFFF" w:val="clear"/>
                    </w:rPr>
                  </w:pPr>
                  <w:r>
                    <w:rPr>
                      <w:rFonts w:ascii="Times New Roman" w:hAnsi="Times New Roman"/>
                      <w:shd w:fill="FFFFFF" w:val="clear"/>
                    </w:rPr>
                    <w:t> </w:t>
                  </w:r>
                </w:p>
              </w:tc>
              <w:tc>
                <w:tcPr>
                  <w:tcW w:w="1731" w:type="dxa"/>
                  <w:tcBorders>
                    <w:top w:val="single" w:sz="2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shd w:fill="FFFFFF" w:val="clear"/>
                    </w:rPr>
                  </w:pPr>
                  <w:r>
                    <w:rPr>
                      <w:rFonts w:ascii="Times New Roman" w:hAnsi="Times New Roman"/>
                      <w:shd w:fill="FFFFFF" w:val="clear"/>
                    </w:rPr>
                    <w:t> </w:t>
                  </w:r>
                </w:p>
              </w:tc>
            </w:tr>
          </w:tbl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shd w:fill="FFFFFF" w:val="clear"/>
              </w:rPr>
            </w:pPr>
            <w:r>
              <w:rPr>
                <w:rFonts w:ascii="Times New Roman" w:hAnsi="Times New Roman"/>
                <w:shd w:fill="FFFFFF" w:val="clear"/>
              </w:rPr>
              <w:t>Итого заработной платы, в руб. __________________________________________________________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shd w:fill="FFFFFF" w:val="clear"/>
              </w:rPr>
            </w:pPr>
            <w:r>
              <w:rPr>
                <w:rFonts w:ascii="Times New Roman" w:hAnsi="Times New Roman"/>
                <w:shd w:fill="FFFFFF" w:val="clear"/>
              </w:rPr>
              <w:t>2. Расчет стоимости выполнения работ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shd w:fill="FFFFFF" w:val="clear"/>
              </w:rPr>
            </w:pPr>
            <w:r>
              <w:rPr>
                <w:rFonts w:ascii="Times New Roman" w:hAnsi="Times New Roman"/>
                <w:shd w:fill="FFFFFF" w:val="clear"/>
              </w:rPr>
              <w:t>2.1 Накладные расходы, %_______________________________________________________________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shd w:fill="FFFFFF" w:val="clear"/>
              </w:rPr>
            </w:pPr>
            <w:r>
              <w:rPr>
                <w:rFonts w:ascii="Times New Roman" w:hAnsi="Times New Roman"/>
                <w:shd w:fill="FFFFFF" w:val="clear"/>
              </w:rPr>
              <w:t>2.2 Себестоимость работ ________________________________________________________________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shd w:fill="FFFFFF" w:val="clear"/>
              </w:rPr>
            </w:pPr>
            <w:r>
              <w:rPr>
                <w:rFonts w:ascii="Times New Roman" w:hAnsi="Times New Roman"/>
                <w:shd w:fill="FFFFFF" w:val="clear"/>
              </w:rPr>
              <w:t>2.3 Уровень рентабельности, % __________________________________________________________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shd w:fill="FFFFFF" w:val="clear"/>
              </w:rPr>
            </w:pPr>
            <w:r>
              <w:rPr>
                <w:rFonts w:ascii="Times New Roman" w:hAnsi="Times New Roman"/>
                <w:b/>
                <w:bCs/>
                <w:shd w:fill="FFFFFF" w:val="clear"/>
              </w:rPr>
              <w:t xml:space="preserve">Итого </w:t>
            </w:r>
            <w:r>
              <w:rPr>
                <w:rFonts w:ascii="Times New Roman" w:hAnsi="Times New Roman"/>
                <w:shd w:fill="FFFFFF" w:val="clear"/>
              </w:rPr>
              <w:t>________________________________________________________________________________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shd w:fill="FFFFFF" w:val="clear"/>
              </w:rPr>
            </w:pPr>
            <w:r>
              <w:rPr>
                <w:rFonts w:ascii="Times New Roman" w:hAnsi="Times New Roman"/>
                <w:shd w:fill="FFFFFF" w:val="clear"/>
              </w:rPr>
              <w:t>3. Командировочные расходы (по расчету)______________________________________________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shd w:fill="FFFFFF" w:val="clear"/>
              </w:rPr>
            </w:pPr>
            <w:r>
              <w:rPr>
                <w:rFonts w:ascii="Times New Roman" w:hAnsi="Times New Roman"/>
                <w:b/>
                <w:shd w:fill="FFFFFF" w:val="clear"/>
              </w:rPr>
              <w:t>Всего (руб.)</w:t>
            </w:r>
            <w:r>
              <w:rPr>
                <w:rFonts w:ascii="Times New Roman" w:hAnsi="Times New Roman"/>
                <w:shd w:fill="FFFFFF" w:val="clear"/>
              </w:rPr>
              <w:t xml:space="preserve"> __________________________________________________________________________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shd w:fill="FFFFFF" w:val="clear"/>
              </w:rPr>
            </w:pPr>
            <w:r>
              <w:rPr>
                <w:rFonts w:ascii="Times New Roman" w:hAnsi="Times New Roman"/>
                <w:shd w:fill="FFFFFF" w:val="clear"/>
              </w:rPr>
              <w:t>_____________________________________________________________________________________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ind w:firstLine="2070"/>
              <w:jc w:val="center"/>
              <w:rPr>
                <w:shd w:fill="FFFFFF" w:val="clear"/>
              </w:rPr>
            </w:pPr>
            <w:r>
              <w:rPr>
                <w:rFonts w:ascii="Times New Roman" w:hAnsi="Times New Roman"/>
                <w:shd w:fill="FFFFFF" w:val="clear"/>
              </w:rPr>
              <w:t>(сумма прописью)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  <w:shd w:fill="FFFFFF" w:val="clear"/>
              </w:rPr>
            </w:pPr>
            <w:r>
              <w:rPr>
                <w:rFonts w:ascii="Times New Roman" w:hAnsi="Times New Roman"/>
                <w:shd w:fill="FFFFFF" w:val="clear"/>
              </w:rPr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shd w:fill="FFFFFF" w:val="clear"/>
              </w:rPr>
            </w:pPr>
            <w:r>
              <w:rPr>
                <w:rFonts w:ascii="Times New Roman" w:hAnsi="Times New Roman"/>
                <w:shd w:fill="FFFFFF" w:val="clear"/>
              </w:rPr>
              <w:t>Составил:________/должность,организация/_______/подпись/___________/расшифровка подписи/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  <w:shd w:fill="FFFFFF" w:val="clear"/>
              </w:rPr>
            </w:pPr>
            <w:r>
              <w:rPr>
                <w:rFonts w:ascii="Times New Roman" w:hAnsi="Times New Roman"/>
                <w:shd w:fill="FFFFFF" w:val="clear"/>
              </w:rPr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shd w:fill="FFFFFF" w:val="clear"/>
              </w:rPr>
            </w:pPr>
            <w:r>
              <w:rPr>
                <w:rFonts w:ascii="Times New Roman" w:hAnsi="Times New Roman"/>
                <w:shd w:fill="FFFFFF" w:val="clear"/>
              </w:rPr>
              <w:t>Проверил:_________/должность, организация/_________/подпись/_________/расшифровка подписи/</w:t>
            </w:r>
          </w:p>
        </w:tc>
      </w:tr>
    </w:tbl>
    <w:p>
      <w:pPr>
        <w:pStyle w:val="ConsPlusNormal1"/>
        <w:widowControl/>
        <w:ind w:hanging="0"/>
        <w:jc w:val="both"/>
        <w:rPr>
          <w:rFonts w:ascii="Times New Roman" w:hAnsi="Times New Roman" w:cs="Times New Roman"/>
          <w:sz w:val="22"/>
          <w:szCs w:val="22"/>
          <w:shd w:fill="FFFFFF" w:val="clear"/>
        </w:rPr>
      </w:pPr>
      <w:r>
        <w:rPr>
          <w:rFonts w:cs="Times New Roman" w:ascii="Times New Roman" w:hAnsi="Times New Roman"/>
          <w:sz w:val="22"/>
          <w:szCs w:val="22"/>
          <w:shd w:fill="FFFFFF" w:val="clear"/>
        </w:rPr>
      </w:r>
      <w:r>
        <w:br w:type="page"/>
      </w:r>
    </w:p>
    <w:p>
      <w:pPr>
        <w:pStyle w:val="Normal"/>
        <w:spacing w:lineRule="auto" w:line="240" w:before="0" w:after="0"/>
        <w:ind w:left="5811" w:hanging="0"/>
        <w:jc w:val="right"/>
        <w:rPr>
          <w:shd w:fill="FFFFFF" w:val="clear"/>
        </w:rPr>
      </w:pPr>
      <w:r>
        <w:rPr>
          <w:rFonts w:ascii="Times New Roman" w:hAnsi="Times New Roman"/>
          <w:sz w:val="20"/>
          <w:szCs w:val="20"/>
          <w:shd w:fill="FFFFFF" w:val="clear"/>
        </w:rPr>
        <w:t>Приложение № 2.1</w:t>
      </w:r>
    </w:p>
    <w:p>
      <w:pPr>
        <w:pStyle w:val="Normal"/>
        <w:spacing w:lineRule="auto" w:line="240" w:before="0" w:after="0"/>
        <w:ind w:left="5811" w:hanging="0"/>
        <w:jc w:val="right"/>
        <w:rPr>
          <w:shd w:fill="FFFFFF" w:val="clear"/>
        </w:rPr>
      </w:pPr>
      <w:r>
        <w:rPr>
          <w:rFonts w:ascii="Times New Roman" w:hAnsi="Times New Roman"/>
          <w:sz w:val="20"/>
          <w:shd w:fill="FFFFFF" w:val="clear"/>
        </w:rPr>
        <w:t xml:space="preserve">к Требованиям к оформлению и </w:t>
      </w:r>
    </w:p>
    <w:p>
      <w:pPr>
        <w:pStyle w:val="Normal"/>
        <w:spacing w:lineRule="auto" w:line="240" w:before="0" w:after="0"/>
        <w:ind w:left="5811" w:firstLine="857"/>
        <w:jc w:val="right"/>
        <w:rPr>
          <w:shd w:fill="FFFFFF" w:val="clear"/>
        </w:rPr>
      </w:pPr>
      <w:r>
        <w:rPr>
          <w:rFonts w:ascii="Times New Roman" w:hAnsi="Times New Roman"/>
          <w:sz w:val="20"/>
          <w:shd w:fill="FFFFFF" w:val="clear"/>
        </w:rPr>
        <w:t xml:space="preserve">составлению сметной документации </w:t>
      </w:r>
      <w:r>
        <w:rPr>
          <w:rFonts w:ascii="Times New Roman" w:hAnsi="Times New Roman"/>
          <w:color w:val="000000"/>
          <w:sz w:val="20"/>
          <w:shd w:fill="FFFFFF" w:val="clear"/>
        </w:rPr>
        <w:t>на выполнение строительно-монтажных работ по программе ремонтов, реконструкции и техническому перевооружению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  <w:b/>
          <w:shd w:fill="FFFFFF" w:val="clear"/>
        </w:rPr>
      </w:pPr>
      <w:r>
        <w:rPr>
          <w:rFonts w:ascii="Times New Roman" w:hAnsi="Times New Roman"/>
          <w:b/>
          <w:shd w:fill="FFFFFF" w:val="clear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  <w:b/>
          <w:shd w:fill="FFFFFF" w:val="clear"/>
        </w:rPr>
      </w:pPr>
      <w:r>
        <w:rPr>
          <w:rFonts w:ascii="Times New Roman" w:hAnsi="Times New Roman"/>
          <w:b/>
          <w:shd w:fill="FFFFFF" w:val="clear"/>
        </w:rPr>
      </w:r>
    </w:p>
    <w:p>
      <w:pPr>
        <w:pStyle w:val="Normal"/>
        <w:spacing w:lineRule="auto" w:line="240" w:before="0" w:after="0"/>
        <w:jc w:val="center"/>
        <w:rPr>
          <w:shd w:fill="FFFFFF" w:val="clear"/>
        </w:rPr>
      </w:pPr>
      <w:r>
        <w:rPr>
          <w:rFonts w:ascii="Times New Roman" w:hAnsi="Times New Roman"/>
          <w:b/>
          <w:shd w:fill="FFFFFF" w:val="clear"/>
        </w:rPr>
        <w:t xml:space="preserve">ПОЯСНИТЕЛЬНАЯ ЗАПИСКА </w:t>
      </w:r>
    </w:p>
    <w:p>
      <w:pPr>
        <w:pStyle w:val="Normal"/>
        <w:spacing w:lineRule="auto" w:line="240" w:before="0" w:after="0"/>
        <w:jc w:val="center"/>
        <w:rPr>
          <w:shd w:fill="FFFFFF" w:val="clear"/>
        </w:rPr>
      </w:pPr>
      <w:r>
        <w:rPr>
          <w:rFonts w:ascii="Times New Roman" w:hAnsi="Times New Roman"/>
          <w:b/>
          <w:shd w:fill="FFFFFF" w:val="clear"/>
        </w:rPr>
        <w:t>по заполнению формы №3п</w:t>
      </w:r>
    </w:p>
    <w:p>
      <w:pPr>
        <w:pStyle w:val="Normal"/>
        <w:spacing w:lineRule="auto" w:line="240" w:before="0" w:after="0"/>
        <w:jc w:val="center"/>
        <w:rPr>
          <w:shd w:fill="FFFFFF" w:val="clear"/>
        </w:rPr>
      </w:pPr>
      <w:r>
        <w:rPr>
          <w:rFonts w:ascii="Times New Roman" w:hAnsi="Times New Roman"/>
          <w:b/>
          <w:shd w:fill="FFFFFF" w:val="clear"/>
        </w:rPr>
        <w:t xml:space="preserve"> </w:t>
      </w:r>
      <w:r>
        <w:rPr>
          <w:rFonts w:ascii="Times New Roman" w:hAnsi="Times New Roman"/>
          <w:b/>
          <w:shd w:fill="FFFFFF" w:val="clear"/>
        </w:rPr>
        <w:t xml:space="preserve">при составлении смет на шеф-монтажные, шеф-наладочные работы </w:t>
      </w:r>
    </w:p>
    <w:p>
      <w:pPr>
        <w:pStyle w:val="Normal"/>
        <w:tabs>
          <w:tab w:val="clear" w:pos="708"/>
          <w:tab w:val="left" w:pos="1080" w:leader="none"/>
        </w:tabs>
        <w:spacing w:lineRule="auto" w:line="240" w:before="0" w:after="0"/>
        <w:ind w:firstLine="540"/>
        <w:jc w:val="both"/>
        <w:rPr>
          <w:rFonts w:ascii="Times New Roman" w:hAnsi="Times New Roman"/>
          <w:shd w:fill="FFFFFF" w:val="clear"/>
        </w:rPr>
      </w:pPr>
      <w:r>
        <w:rPr>
          <w:rFonts w:ascii="Times New Roman" w:hAnsi="Times New Roman"/>
          <w:shd w:fill="FFFFFF" w:val="clear"/>
        </w:rPr>
      </w:r>
    </w:p>
    <w:p>
      <w:pPr>
        <w:pStyle w:val="Normal"/>
        <w:numPr>
          <w:ilvl w:val="0"/>
          <w:numId w:val="4"/>
        </w:numPr>
        <w:tabs>
          <w:tab w:val="clear" w:pos="708"/>
          <w:tab w:val="left" w:pos="993" w:leader="none"/>
        </w:tabs>
        <w:spacing w:lineRule="auto" w:line="240" w:before="0" w:after="0"/>
        <w:ind w:left="0" w:firstLine="709"/>
        <w:contextualSpacing/>
        <w:jc w:val="both"/>
        <w:rPr>
          <w:shd w:fill="FFFFFF" w:val="clear"/>
        </w:rPr>
      </w:pPr>
      <w:r>
        <w:rPr>
          <w:rFonts w:eastAsia="Calibri" w:ascii="Times New Roman" w:hAnsi="Times New Roman"/>
          <w:shd w:fill="FFFFFF" w:val="clear"/>
          <w:lang w:eastAsia="en-US"/>
        </w:rPr>
        <w:t>При составлении сметного расчета по трудозатратам (форма №3п), обоснование расчета трудозатрат представляется заказчику по его просьбе. Сметные расчеты составляются в ценах текущего периода.</w:t>
      </w:r>
    </w:p>
    <w:p>
      <w:pPr>
        <w:pStyle w:val="Normal"/>
        <w:numPr>
          <w:ilvl w:val="0"/>
          <w:numId w:val="4"/>
        </w:numPr>
        <w:tabs>
          <w:tab w:val="clear" w:pos="708"/>
          <w:tab w:val="left" w:pos="993" w:leader="none"/>
          <w:tab w:val="left" w:pos="1080" w:leader="none"/>
        </w:tabs>
        <w:spacing w:lineRule="auto" w:line="240" w:before="0" w:after="0"/>
        <w:ind w:left="0" w:firstLine="709"/>
        <w:contextualSpacing/>
        <w:jc w:val="both"/>
        <w:rPr>
          <w:shd w:fill="FFFFFF" w:val="clear"/>
        </w:rPr>
      </w:pPr>
      <w:r>
        <w:rPr>
          <w:rFonts w:eastAsia="Calibri" w:ascii="Times New Roman" w:hAnsi="Times New Roman"/>
          <w:shd w:fill="FFFFFF" w:val="clear"/>
          <w:lang w:eastAsia="en-US"/>
        </w:rPr>
        <w:t>Расчетом по трудозатратам (форма №3п) рекомендуется определять стоимость работ, цены на которые отсутствуют в СБЦ, МНЗ и СЦ, внесенных в ФРСН.</w:t>
      </w:r>
    </w:p>
    <w:p>
      <w:pPr>
        <w:pStyle w:val="Normal"/>
        <w:numPr>
          <w:ilvl w:val="0"/>
          <w:numId w:val="4"/>
        </w:numPr>
        <w:tabs>
          <w:tab w:val="clear" w:pos="708"/>
          <w:tab w:val="left" w:pos="993" w:leader="none"/>
          <w:tab w:val="left" w:pos="1080" w:leader="none"/>
        </w:tabs>
        <w:spacing w:lineRule="auto" w:line="240" w:before="0" w:after="0"/>
        <w:ind w:left="0" w:firstLine="709"/>
        <w:contextualSpacing/>
        <w:jc w:val="both"/>
        <w:rPr>
          <w:shd w:fill="FFFFFF" w:val="clear"/>
        </w:rPr>
      </w:pPr>
      <w:r>
        <w:rPr>
          <w:rFonts w:eastAsia="Calibri" w:ascii="Times New Roman" w:hAnsi="Times New Roman"/>
          <w:shd w:fill="FFFFFF" w:val="clear"/>
          <w:lang w:eastAsia="en-US"/>
        </w:rPr>
        <w:t>Форма сметы для определения затрат по себестоимости и уровню рентабельности (форма №3п) приведена в образце 3П Приложения 2.</w:t>
      </w:r>
    </w:p>
    <w:p>
      <w:pPr>
        <w:pStyle w:val="Normal"/>
        <w:numPr>
          <w:ilvl w:val="0"/>
          <w:numId w:val="4"/>
        </w:numPr>
        <w:tabs>
          <w:tab w:val="clear" w:pos="708"/>
          <w:tab w:val="left" w:pos="993" w:leader="none"/>
          <w:tab w:val="left" w:pos="1080" w:leader="none"/>
        </w:tabs>
        <w:spacing w:lineRule="auto" w:line="240" w:before="0" w:after="0"/>
        <w:ind w:left="0" w:firstLine="709"/>
        <w:contextualSpacing/>
        <w:jc w:val="both"/>
        <w:rPr>
          <w:shd w:fill="FFFFFF" w:val="clear"/>
        </w:rPr>
      </w:pPr>
      <w:r>
        <w:rPr>
          <w:rFonts w:ascii="Times New Roman" w:hAnsi="Times New Roman"/>
          <w:shd w:fill="FFFFFF" w:val="clear"/>
        </w:rPr>
        <w:t xml:space="preserve">Результаты вычислений и итоговые данные по разделам расчета </w:t>
      </w:r>
      <w:r>
        <w:rPr>
          <w:rFonts w:ascii="Times New Roman" w:hAnsi="Times New Roman"/>
          <w:u w:val="single"/>
          <w:shd w:fill="FFFFFF" w:val="clear"/>
        </w:rPr>
        <w:t>округлять до целых рублей.</w:t>
      </w:r>
    </w:p>
    <w:p>
      <w:pPr>
        <w:pStyle w:val="Normal"/>
        <w:numPr>
          <w:ilvl w:val="0"/>
          <w:numId w:val="4"/>
        </w:numPr>
        <w:tabs>
          <w:tab w:val="clear" w:pos="708"/>
          <w:tab w:val="left" w:pos="993" w:leader="none"/>
          <w:tab w:val="left" w:pos="1080" w:leader="none"/>
        </w:tabs>
        <w:spacing w:lineRule="auto" w:line="240" w:before="0" w:after="0"/>
        <w:ind w:left="0" w:firstLine="709"/>
        <w:contextualSpacing/>
        <w:jc w:val="both"/>
        <w:rPr>
          <w:shd w:fill="FFFFFF" w:val="clear"/>
        </w:rPr>
      </w:pPr>
      <w:r>
        <w:rPr>
          <w:rFonts w:eastAsia="Calibri" w:ascii="Times New Roman" w:hAnsi="Times New Roman"/>
          <w:shd w:fill="FFFFFF" w:val="clear"/>
          <w:lang w:eastAsia="en-US"/>
        </w:rPr>
        <w:t>Особенности заполнения формы 3п.</w:t>
      </w:r>
    </w:p>
    <w:p>
      <w:pPr>
        <w:pStyle w:val="Normal"/>
        <w:tabs>
          <w:tab w:val="clear" w:pos="708"/>
          <w:tab w:val="left" w:pos="993" w:leader="none"/>
        </w:tabs>
        <w:spacing w:lineRule="auto" w:line="240" w:before="0" w:after="0"/>
        <w:ind w:firstLine="709"/>
        <w:jc w:val="both"/>
        <w:rPr>
          <w:shd w:fill="FFFFFF" w:val="clear"/>
        </w:rPr>
      </w:pPr>
      <w:r>
        <w:rPr>
          <w:rFonts w:ascii="Times New Roman" w:hAnsi="Times New Roman"/>
          <w:u w:val="single"/>
          <w:shd w:fill="FFFFFF" w:val="clear"/>
        </w:rPr>
        <w:t>Раздел 1. Расчет заработной платы:</w:t>
      </w:r>
    </w:p>
    <w:p>
      <w:pPr>
        <w:pStyle w:val="Normal"/>
        <w:numPr>
          <w:ilvl w:val="0"/>
          <w:numId w:val="3"/>
        </w:numPr>
        <w:tabs>
          <w:tab w:val="clear" w:pos="708"/>
          <w:tab w:val="left" w:pos="993" w:leader="none"/>
          <w:tab w:val="left" w:pos="1080" w:leader="none"/>
        </w:tabs>
        <w:spacing w:lineRule="auto" w:line="240" w:before="0" w:after="0"/>
        <w:ind w:left="0" w:firstLine="709"/>
        <w:contextualSpacing/>
        <w:jc w:val="both"/>
        <w:rPr>
          <w:shd w:fill="FFFFFF" w:val="clear"/>
        </w:rPr>
      </w:pPr>
      <w:r>
        <w:rPr>
          <w:rFonts w:eastAsia="Calibri" w:ascii="Times New Roman" w:hAnsi="Times New Roman"/>
          <w:shd w:fill="FFFFFF" w:val="clear"/>
          <w:lang w:eastAsia="en-US"/>
        </w:rPr>
        <w:t>в графе 1 приводится нумерация выполняемых работ;</w:t>
      </w:r>
    </w:p>
    <w:p>
      <w:pPr>
        <w:pStyle w:val="Normal"/>
        <w:numPr>
          <w:ilvl w:val="0"/>
          <w:numId w:val="3"/>
        </w:numPr>
        <w:tabs>
          <w:tab w:val="clear" w:pos="708"/>
          <w:tab w:val="left" w:pos="993" w:leader="none"/>
          <w:tab w:val="left" w:pos="1080" w:leader="none"/>
        </w:tabs>
        <w:spacing w:lineRule="auto" w:line="240" w:before="0" w:after="0"/>
        <w:ind w:left="0" w:firstLine="709"/>
        <w:contextualSpacing/>
        <w:jc w:val="both"/>
        <w:rPr>
          <w:shd w:fill="FFFFFF" w:val="clear"/>
        </w:rPr>
      </w:pPr>
      <w:r>
        <w:rPr>
          <w:rFonts w:eastAsia="Calibri" w:ascii="Times New Roman" w:hAnsi="Times New Roman"/>
          <w:shd w:fill="FFFFFF" w:val="clear"/>
          <w:lang w:eastAsia="en-US"/>
        </w:rPr>
        <w:t>в графе 2 приводится наименование выполняемых работ;</w:t>
      </w:r>
    </w:p>
    <w:p>
      <w:pPr>
        <w:pStyle w:val="Normal"/>
        <w:numPr>
          <w:ilvl w:val="0"/>
          <w:numId w:val="3"/>
        </w:numPr>
        <w:tabs>
          <w:tab w:val="clear" w:pos="708"/>
          <w:tab w:val="left" w:pos="993" w:leader="none"/>
          <w:tab w:val="left" w:pos="1080" w:leader="none"/>
        </w:tabs>
        <w:spacing w:lineRule="auto" w:line="240" w:before="0" w:after="0"/>
        <w:ind w:left="0" w:firstLine="709"/>
        <w:contextualSpacing/>
        <w:jc w:val="both"/>
        <w:rPr>
          <w:shd w:fill="FFFFFF" w:val="clear"/>
        </w:rPr>
      </w:pPr>
      <w:r>
        <w:rPr>
          <w:rFonts w:eastAsia="Calibri" w:ascii="Times New Roman" w:hAnsi="Times New Roman"/>
          <w:shd w:fill="FFFFFF" w:val="clear"/>
          <w:lang w:eastAsia="en-US"/>
        </w:rPr>
        <w:t>в графе 3 указывается количество привлекаемых работников;</w:t>
      </w:r>
    </w:p>
    <w:p>
      <w:pPr>
        <w:pStyle w:val="Normal"/>
        <w:numPr>
          <w:ilvl w:val="0"/>
          <w:numId w:val="3"/>
        </w:numPr>
        <w:tabs>
          <w:tab w:val="clear" w:pos="708"/>
          <w:tab w:val="left" w:pos="993" w:leader="none"/>
          <w:tab w:val="left" w:pos="1080" w:leader="none"/>
        </w:tabs>
        <w:spacing w:lineRule="auto" w:line="240" w:before="0" w:after="0"/>
        <w:ind w:left="0" w:firstLine="709"/>
        <w:contextualSpacing/>
        <w:jc w:val="both"/>
        <w:rPr>
          <w:shd w:fill="FFFFFF" w:val="clear"/>
        </w:rPr>
      </w:pPr>
      <w:r>
        <w:rPr>
          <w:rFonts w:eastAsia="Calibri" w:ascii="Times New Roman" w:hAnsi="Times New Roman"/>
          <w:shd w:fill="FFFFFF" w:val="clear"/>
          <w:lang w:eastAsia="en-US"/>
        </w:rPr>
        <w:t>в графе 4 указывается наименование должности (при необходимости с указанием конкретных фамилий) работников, участвующих в выполнении каждой из приведенных работ в графе 2 работ;</w:t>
      </w:r>
    </w:p>
    <w:p>
      <w:pPr>
        <w:pStyle w:val="Normal"/>
        <w:numPr>
          <w:ilvl w:val="0"/>
          <w:numId w:val="3"/>
        </w:numPr>
        <w:tabs>
          <w:tab w:val="clear" w:pos="708"/>
          <w:tab w:val="left" w:pos="993" w:leader="none"/>
          <w:tab w:val="left" w:pos="1080" w:leader="none"/>
        </w:tabs>
        <w:spacing w:lineRule="auto" w:line="240" w:before="0" w:after="0"/>
        <w:ind w:left="0" w:firstLine="709"/>
        <w:contextualSpacing/>
        <w:jc w:val="both"/>
        <w:rPr>
          <w:shd w:fill="FFFFFF" w:val="clear"/>
        </w:rPr>
      </w:pPr>
      <w:r>
        <w:rPr>
          <w:rFonts w:eastAsia="Calibri" w:ascii="Times New Roman" w:hAnsi="Times New Roman"/>
          <w:shd w:fill="FFFFFF" w:val="clear"/>
          <w:lang w:eastAsia="en-US"/>
        </w:rPr>
        <w:t>в графе 5 для каждой должностной группы (при необходимости с указанием конкретных фамилий) работников, участвующих в выполнении данной работы, указывается общее количество рабочих дней, необходимых данной квалификационной группе для её выполнения; рабочее время не должно превышать значений, определенных по нормативным временным нормам;</w:t>
      </w:r>
    </w:p>
    <w:p>
      <w:pPr>
        <w:pStyle w:val="Normal"/>
        <w:numPr>
          <w:ilvl w:val="0"/>
          <w:numId w:val="3"/>
        </w:numPr>
        <w:tabs>
          <w:tab w:val="clear" w:pos="708"/>
          <w:tab w:val="left" w:pos="993" w:leader="none"/>
          <w:tab w:val="left" w:pos="1080" w:leader="none"/>
        </w:tabs>
        <w:spacing w:lineRule="auto" w:line="240" w:before="0" w:after="0"/>
        <w:ind w:left="0" w:firstLine="709"/>
        <w:contextualSpacing/>
        <w:jc w:val="both"/>
        <w:rPr>
          <w:shd w:fill="FFFFFF" w:val="clear"/>
        </w:rPr>
      </w:pPr>
      <w:r>
        <w:rPr>
          <w:rFonts w:eastAsia="Calibri" w:ascii="Times New Roman" w:hAnsi="Times New Roman"/>
          <w:shd w:fill="FFFFFF" w:val="clear"/>
          <w:lang w:eastAsia="en-US"/>
        </w:rPr>
        <w:t>в графе 6 приводятся данные по стоимости 1 человеко-дня в рублях по категориям работников. Стоимость 1 человеко-дня непосредственных исполнителей приводится по штатному расписанию основного производственного персонала исходя из установленных в нем окладов, а также выплат стимулирующего и компенсирующего характера, установленных Положением о премировании работников предприятия.</w:t>
      </w:r>
    </w:p>
    <w:p>
      <w:pPr>
        <w:pStyle w:val="Normal"/>
        <w:numPr>
          <w:ilvl w:val="0"/>
          <w:numId w:val="3"/>
        </w:numPr>
        <w:tabs>
          <w:tab w:val="clear" w:pos="708"/>
          <w:tab w:val="left" w:pos="993" w:leader="none"/>
          <w:tab w:val="left" w:pos="1080" w:leader="none"/>
        </w:tabs>
        <w:spacing w:lineRule="auto" w:line="240" w:before="0" w:after="0"/>
        <w:ind w:left="0" w:firstLine="709"/>
        <w:contextualSpacing/>
        <w:jc w:val="both"/>
        <w:rPr>
          <w:shd w:fill="FFFFFF" w:val="clear"/>
        </w:rPr>
      </w:pPr>
      <w:r>
        <w:rPr>
          <w:rFonts w:eastAsia="Calibri" w:ascii="Times New Roman" w:hAnsi="Times New Roman"/>
          <w:shd w:fill="FFFFFF" w:val="clear"/>
          <w:lang w:eastAsia="en-US"/>
        </w:rPr>
        <w:t>в графе 7 указывается заработная плата в рублях (</w:t>
      </w:r>
      <w:r>
        <w:rPr>
          <w:rFonts w:eastAsia="Calibri" w:ascii="Times New Roman" w:hAnsi="Times New Roman"/>
          <w:b/>
          <w:u w:val="single"/>
          <w:shd w:fill="FFFFFF" w:val="clear"/>
          <w:lang w:eastAsia="en-US"/>
        </w:rPr>
        <w:t>результат перемножения граф 5 и 6</w:t>
      </w:r>
      <w:r>
        <w:rPr>
          <w:rFonts w:eastAsia="Calibri" w:ascii="Times New Roman" w:hAnsi="Times New Roman"/>
          <w:shd w:fill="FFFFFF" w:val="clear"/>
          <w:lang w:eastAsia="en-US"/>
        </w:rPr>
        <w:t>);</w:t>
      </w:r>
    </w:p>
    <w:p>
      <w:pPr>
        <w:pStyle w:val="Normal"/>
        <w:tabs>
          <w:tab w:val="clear" w:pos="708"/>
          <w:tab w:val="left" w:pos="993" w:leader="none"/>
          <w:tab w:val="left" w:pos="1080" w:leader="none"/>
        </w:tabs>
        <w:spacing w:lineRule="auto" w:line="240" w:before="0" w:after="0"/>
        <w:ind w:firstLine="709"/>
        <w:contextualSpacing/>
        <w:jc w:val="both"/>
        <w:rPr>
          <w:shd w:fill="FFFFFF" w:val="clear"/>
        </w:rPr>
      </w:pPr>
      <w:r>
        <w:rPr>
          <w:rFonts w:eastAsia="Calibri" w:ascii="Times New Roman" w:hAnsi="Times New Roman"/>
          <w:shd w:fill="FFFFFF" w:val="clear"/>
          <w:lang w:eastAsia="en-US"/>
        </w:rPr>
        <w:t>Данные по количеству человек, дней и категорий непосредственных исполнителей, приведенные в графах 3, 4, 5, указываются в соответствии с экспертной оценкой трудоемкости этих работ или на базе имеющихся в организации проработок, определяющих нормативы их трудоемкости.</w:t>
      </w:r>
    </w:p>
    <w:p>
      <w:pPr>
        <w:pStyle w:val="Normal"/>
        <w:tabs>
          <w:tab w:val="clear" w:pos="708"/>
          <w:tab w:val="left" w:pos="993" w:leader="none"/>
          <w:tab w:val="left" w:pos="1080" w:leader="none"/>
        </w:tabs>
        <w:spacing w:lineRule="auto" w:line="240" w:before="0" w:after="0"/>
        <w:ind w:firstLine="709"/>
        <w:jc w:val="both"/>
        <w:rPr>
          <w:shd w:fill="FFFFFF" w:val="clear"/>
        </w:rPr>
      </w:pPr>
      <w:r>
        <w:rPr>
          <w:rFonts w:ascii="Times New Roman" w:hAnsi="Times New Roman"/>
          <w:u w:val="single"/>
          <w:shd w:fill="FFFFFF" w:val="clear"/>
        </w:rPr>
        <w:t>Раздел 2. Расчет стоимости выполнения работ</w:t>
      </w:r>
    </w:p>
    <w:p>
      <w:pPr>
        <w:pStyle w:val="Normal"/>
        <w:numPr>
          <w:ilvl w:val="0"/>
          <w:numId w:val="3"/>
        </w:numPr>
        <w:tabs>
          <w:tab w:val="clear" w:pos="708"/>
          <w:tab w:val="left" w:pos="993" w:leader="none"/>
          <w:tab w:val="left" w:pos="1080" w:leader="none"/>
        </w:tabs>
        <w:spacing w:lineRule="auto" w:line="240" w:before="0" w:after="0"/>
        <w:ind w:left="0" w:firstLine="709"/>
        <w:contextualSpacing/>
        <w:jc w:val="both"/>
        <w:rPr>
          <w:shd w:fill="FFFFFF" w:val="clear"/>
        </w:rPr>
      </w:pPr>
      <w:r>
        <w:rPr>
          <w:rFonts w:eastAsia="Calibri" w:ascii="Times New Roman" w:hAnsi="Times New Roman"/>
          <w:shd w:fill="FFFFFF" w:val="clear"/>
          <w:lang w:eastAsia="en-US"/>
        </w:rPr>
        <w:t>в пункте 2.1 указываются накладные расходы. Данные по оплате труда, накладным расходам, уровню рентабельности организации принимаются в соответствии с плановыми показателями на соответствующий период выполнения работ и утверждаются внутренним распорядительным документом организации.</w:t>
      </w:r>
    </w:p>
    <w:p>
      <w:pPr>
        <w:pStyle w:val="Normal"/>
        <w:numPr>
          <w:ilvl w:val="0"/>
          <w:numId w:val="3"/>
        </w:numPr>
        <w:tabs>
          <w:tab w:val="clear" w:pos="708"/>
          <w:tab w:val="left" w:pos="993" w:leader="none"/>
          <w:tab w:val="left" w:pos="1080" w:leader="none"/>
        </w:tabs>
        <w:spacing w:lineRule="auto" w:line="240" w:before="0" w:after="0"/>
        <w:ind w:left="0" w:firstLine="709"/>
        <w:contextualSpacing/>
        <w:jc w:val="both"/>
        <w:rPr>
          <w:shd w:fill="FFFFFF" w:val="clear"/>
        </w:rPr>
      </w:pPr>
      <w:r>
        <w:rPr>
          <w:rFonts w:eastAsia="Calibri" w:ascii="Times New Roman" w:hAnsi="Times New Roman"/>
          <w:shd w:fill="FFFFFF" w:val="clear"/>
          <w:lang w:eastAsia="en-US"/>
        </w:rPr>
        <w:t>в пункте 2.2 производится расчет себестоимости работ на основании выполненного в разделе 1 расчета заработной платы и накладных расходов (сложение итога графы 7 раздела 1 и пункта 2.1);</w:t>
      </w:r>
    </w:p>
    <w:p>
      <w:pPr>
        <w:pStyle w:val="Normal"/>
        <w:numPr>
          <w:ilvl w:val="0"/>
          <w:numId w:val="3"/>
        </w:numPr>
        <w:tabs>
          <w:tab w:val="clear" w:pos="708"/>
          <w:tab w:val="left" w:pos="993" w:leader="none"/>
          <w:tab w:val="left" w:pos="1080" w:leader="none"/>
        </w:tabs>
        <w:spacing w:lineRule="auto" w:line="240" w:before="0" w:after="0"/>
        <w:ind w:left="0" w:firstLine="709"/>
        <w:contextualSpacing/>
        <w:jc w:val="both"/>
        <w:rPr>
          <w:shd w:fill="FFFFFF" w:val="clear"/>
        </w:rPr>
      </w:pPr>
      <w:r>
        <w:rPr>
          <w:rFonts w:eastAsia="Calibri" w:ascii="Times New Roman" w:hAnsi="Times New Roman"/>
          <w:shd w:fill="FFFFFF" w:val="clear"/>
          <w:lang w:eastAsia="en-US"/>
        </w:rPr>
        <w:t>в пункте 2.3 указывается уровень рентабельности (размер сметной прибыли), принимается по данным организации в соответствии с финансовым планом;</w:t>
      </w:r>
    </w:p>
    <w:p>
      <w:pPr>
        <w:pStyle w:val="Normal"/>
        <w:numPr>
          <w:ilvl w:val="0"/>
          <w:numId w:val="3"/>
        </w:numPr>
        <w:tabs>
          <w:tab w:val="clear" w:pos="708"/>
          <w:tab w:val="left" w:pos="993" w:leader="none"/>
          <w:tab w:val="left" w:pos="1080" w:leader="none"/>
        </w:tabs>
        <w:spacing w:lineRule="auto" w:line="240" w:before="0" w:after="0"/>
        <w:ind w:left="0" w:firstLine="709"/>
        <w:contextualSpacing/>
        <w:jc w:val="both"/>
        <w:rPr>
          <w:shd w:fill="FFFFFF" w:val="clear"/>
        </w:rPr>
      </w:pPr>
      <w:r>
        <w:rPr>
          <w:rFonts w:eastAsia="Calibri" w:ascii="Times New Roman" w:hAnsi="Times New Roman"/>
          <w:shd w:fill="FFFFFF" w:val="clear"/>
          <w:lang w:eastAsia="en-US"/>
        </w:rPr>
        <w:t>уровень рентабельности по отношению к себестоимости может составлять до 15%.</w:t>
      </w:r>
    </w:p>
    <w:p>
      <w:pPr>
        <w:pStyle w:val="Normal"/>
        <w:tabs>
          <w:tab w:val="clear" w:pos="708"/>
          <w:tab w:val="left" w:pos="993" w:leader="none"/>
          <w:tab w:val="left" w:pos="1080" w:leader="none"/>
        </w:tabs>
        <w:spacing w:lineRule="auto" w:line="240" w:before="0" w:after="0"/>
        <w:ind w:firstLine="709"/>
        <w:jc w:val="both"/>
        <w:rPr>
          <w:shd w:fill="FFFFFF" w:val="clear"/>
        </w:rPr>
      </w:pPr>
      <w:r>
        <w:rPr>
          <w:rFonts w:ascii="Times New Roman" w:hAnsi="Times New Roman"/>
          <w:shd w:fill="FFFFFF" w:val="clear"/>
        </w:rPr>
        <w:t>К сметной документации необходимо приложить все справочные данные по вышеуказанным экономическим характеристикам предприятия в форме официальной справки (образец в Приложении №1 к пояснительной записке по заполнению формы 3П).</w:t>
      </w:r>
    </w:p>
    <w:p>
      <w:pPr>
        <w:pStyle w:val="Normal"/>
        <w:tabs>
          <w:tab w:val="clear" w:pos="708"/>
          <w:tab w:val="left" w:pos="993" w:leader="none"/>
          <w:tab w:val="left" w:pos="1080" w:leader="none"/>
        </w:tabs>
        <w:spacing w:lineRule="auto" w:line="240" w:before="0" w:after="0"/>
        <w:ind w:firstLine="709"/>
        <w:jc w:val="both"/>
        <w:rPr>
          <w:shd w:fill="FFFFFF" w:val="clear"/>
        </w:rPr>
      </w:pPr>
      <w:r>
        <w:rPr>
          <w:rFonts w:ascii="Times New Roman" w:hAnsi="Times New Roman"/>
          <w:u w:val="single"/>
          <w:shd w:fill="FFFFFF" w:val="clear"/>
        </w:rPr>
        <w:t>Раздел 3. Расчет командировочных расходов.</w:t>
      </w:r>
    </w:p>
    <w:p>
      <w:pPr>
        <w:pStyle w:val="Normal"/>
        <w:tabs>
          <w:tab w:val="clear" w:pos="708"/>
          <w:tab w:val="left" w:pos="993" w:leader="none"/>
        </w:tabs>
        <w:spacing w:lineRule="auto" w:line="240" w:before="0" w:after="0"/>
        <w:ind w:firstLine="709"/>
        <w:jc w:val="both"/>
        <w:rPr>
          <w:shd w:fill="FFFFFF" w:val="clear"/>
        </w:rPr>
      </w:pPr>
      <w:r>
        <w:rPr>
          <w:rFonts w:ascii="Times New Roman" w:hAnsi="Times New Roman"/>
          <w:shd w:fill="FFFFFF" w:val="clear"/>
        </w:rPr>
        <w:t xml:space="preserve">Командировочные расходы включаются в сметный расчет отдельной строкой (пункт 3 формы 3П) по отдельно выполненному расчету (приложение № 2) с расшифровкой затрат на проезд, проживание, суточные расходы. </w:t>
      </w:r>
    </w:p>
    <w:p>
      <w:pPr>
        <w:pStyle w:val="Normal"/>
        <w:tabs>
          <w:tab w:val="clear" w:pos="708"/>
          <w:tab w:val="left" w:pos="993" w:leader="none"/>
        </w:tabs>
        <w:spacing w:lineRule="auto" w:line="240" w:before="0" w:after="0"/>
        <w:ind w:firstLine="709"/>
        <w:jc w:val="both"/>
        <w:rPr>
          <w:shd w:fill="FFFFFF" w:val="clear"/>
        </w:rPr>
      </w:pPr>
      <w:r>
        <w:rPr>
          <w:rFonts w:ascii="Times New Roman" w:hAnsi="Times New Roman"/>
          <w:shd w:fill="FFFFFF" w:val="clear"/>
        </w:rPr>
        <w:t>Стоимость проезда необходимо указать по каждому виду транспорта отдельно туда и отдельно обратно.</w:t>
      </w:r>
    </w:p>
    <w:p>
      <w:pPr>
        <w:pStyle w:val="Normal"/>
        <w:tabs>
          <w:tab w:val="clear" w:pos="708"/>
          <w:tab w:val="left" w:pos="993" w:leader="none"/>
        </w:tabs>
        <w:spacing w:lineRule="auto" w:line="240" w:before="0" w:after="0"/>
        <w:ind w:firstLine="709"/>
        <w:jc w:val="both"/>
        <w:rPr>
          <w:shd w:fill="FFFFFF" w:val="clear"/>
        </w:rPr>
      </w:pPr>
      <w:r>
        <w:rPr>
          <w:rFonts w:ascii="Times New Roman" w:hAnsi="Times New Roman"/>
          <w:shd w:fill="FFFFFF" w:val="clear"/>
        </w:rPr>
        <w:t>Размер расходов на проезд и стоимость проживания в гостинице определяется на момент составления расчета.</w:t>
      </w:r>
    </w:p>
    <w:p>
      <w:pPr>
        <w:pStyle w:val="Normal"/>
        <w:tabs>
          <w:tab w:val="clear" w:pos="708"/>
          <w:tab w:val="left" w:pos="993" w:leader="none"/>
          <w:tab w:val="left" w:pos="1080" w:leader="none"/>
        </w:tabs>
        <w:spacing w:lineRule="auto" w:line="240" w:before="0" w:after="0"/>
        <w:ind w:firstLine="709"/>
        <w:jc w:val="both"/>
        <w:rPr>
          <w:shd w:fill="FFFFFF" w:val="clear"/>
        </w:rPr>
      </w:pPr>
      <w:r>
        <w:rPr>
          <w:rFonts w:ascii="Times New Roman" w:hAnsi="Times New Roman"/>
          <w:shd w:fill="FFFFFF" w:val="clear"/>
        </w:rPr>
        <w:t>Размеры возмещения расходов, связанных со служебными командировками, определяются коллективным договором и/или локальным нормативным актом организации–исполнителя, но не выше нормативов возмещения расходов, связанных со служебными командировками, установленных локальным нормативным актом организации–заказчика.</w:t>
      </w:r>
    </w:p>
    <w:p>
      <w:pPr>
        <w:pStyle w:val="Normal"/>
        <w:tabs>
          <w:tab w:val="clear" w:pos="708"/>
          <w:tab w:val="left" w:pos="993" w:leader="none"/>
          <w:tab w:val="left" w:pos="1080" w:leader="none"/>
        </w:tabs>
        <w:spacing w:lineRule="auto" w:line="240" w:before="0" w:after="0"/>
        <w:ind w:firstLine="709"/>
        <w:jc w:val="both"/>
        <w:rPr>
          <w:shd w:fill="FFFFFF" w:val="clear"/>
        </w:rPr>
      </w:pPr>
      <w:r>
        <w:rPr>
          <w:rFonts w:ascii="Times New Roman" w:hAnsi="Times New Roman"/>
          <w:shd w:fill="FFFFFF" w:val="clear"/>
        </w:rPr>
        <w:t>Лимиты командировочных расходов не более:</w:t>
      </w:r>
    </w:p>
    <w:p>
      <w:pPr>
        <w:pStyle w:val="Normal"/>
        <w:numPr>
          <w:ilvl w:val="0"/>
          <w:numId w:val="5"/>
        </w:numPr>
        <w:tabs>
          <w:tab w:val="clear" w:pos="708"/>
          <w:tab w:val="left" w:pos="993" w:leader="none"/>
          <w:tab w:val="left" w:pos="1080" w:leader="none"/>
        </w:tabs>
        <w:spacing w:lineRule="auto" w:line="240" w:before="0" w:after="0"/>
        <w:ind w:left="0" w:firstLine="709"/>
        <w:contextualSpacing/>
        <w:jc w:val="both"/>
        <w:rPr>
          <w:shd w:fill="FFFFFF" w:val="clear"/>
        </w:rPr>
      </w:pPr>
      <w:r>
        <w:rPr>
          <w:rFonts w:eastAsia="Calibri" w:ascii="Times New Roman" w:hAnsi="Times New Roman"/>
          <w:shd w:fill="FFFFFF" w:val="clear"/>
          <w:lang w:eastAsia="en-US"/>
        </w:rPr>
        <w:t>суточные - 700 руб./сутки;</w:t>
      </w:r>
    </w:p>
    <w:p>
      <w:pPr>
        <w:pStyle w:val="Normal"/>
        <w:numPr>
          <w:ilvl w:val="0"/>
          <w:numId w:val="5"/>
        </w:numPr>
        <w:tabs>
          <w:tab w:val="clear" w:pos="708"/>
          <w:tab w:val="left" w:pos="993" w:leader="none"/>
          <w:tab w:val="left" w:pos="1080" w:leader="none"/>
        </w:tabs>
        <w:spacing w:lineRule="auto" w:line="240" w:before="0" w:after="0"/>
        <w:ind w:left="0" w:firstLine="709"/>
        <w:contextualSpacing/>
        <w:jc w:val="both"/>
        <w:rPr>
          <w:shd w:fill="FFFFFF" w:val="clear"/>
        </w:rPr>
      </w:pPr>
      <w:r>
        <w:rPr>
          <w:rFonts w:eastAsia="Calibri" w:ascii="Times New Roman" w:hAnsi="Times New Roman"/>
          <w:shd w:fill="FFFFFF" w:val="clear"/>
          <w:lang w:eastAsia="en-US"/>
        </w:rPr>
        <w:t>проживание - до 5000 руб./сутки;</w:t>
      </w:r>
    </w:p>
    <w:p>
      <w:pPr>
        <w:pStyle w:val="Normal"/>
        <w:numPr>
          <w:ilvl w:val="0"/>
          <w:numId w:val="5"/>
        </w:numPr>
        <w:tabs>
          <w:tab w:val="clear" w:pos="708"/>
          <w:tab w:val="left" w:pos="993" w:leader="none"/>
          <w:tab w:val="left" w:pos="1080" w:leader="none"/>
        </w:tabs>
        <w:spacing w:lineRule="auto" w:line="240" w:before="0" w:after="0"/>
        <w:ind w:left="0" w:firstLine="709"/>
        <w:contextualSpacing/>
        <w:jc w:val="both"/>
        <w:rPr>
          <w:shd w:fill="FFFFFF" w:val="clear"/>
        </w:rPr>
      </w:pPr>
      <w:r>
        <w:rPr>
          <w:rFonts w:eastAsia="Calibri" w:ascii="Times New Roman" w:hAnsi="Times New Roman"/>
          <w:shd w:fill="FFFFFF" w:val="clear"/>
          <w:lang w:eastAsia="en-US"/>
        </w:rPr>
        <w:t>проезд: поезд (купе) или самолет (</w:t>
      </w:r>
      <w:r>
        <w:rPr>
          <w:rFonts w:ascii="Times New Roman" w:hAnsi="Times New Roman"/>
          <w:color w:val="000000"/>
          <w:shd w:fill="FFFFFF" w:val="clear"/>
        </w:rPr>
        <w:t>класс–эконом с багажом до 20 (двадцати) кг, ручная кладь до 10 (десяти) кг</w:t>
      </w:r>
      <w:r>
        <w:rPr>
          <w:rFonts w:eastAsia="Calibri" w:ascii="Times New Roman" w:hAnsi="Times New Roman"/>
          <w:shd w:fill="FFFFFF" w:val="clear"/>
          <w:lang w:eastAsia="en-US"/>
        </w:rPr>
        <w:t>).</w:t>
      </w:r>
    </w:p>
    <w:p>
      <w:pPr>
        <w:pStyle w:val="Normal"/>
        <w:tabs>
          <w:tab w:val="clear" w:pos="708"/>
          <w:tab w:val="left" w:pos="567" w:leader="none"/>
        </w:tabs>
        <w:spacing w:lineRule="auto" w:line="240" w:before="0" w:after="0"/>
        <w:ind w:firstLine="709"/>
        <w:contextualSpacing/>
        <w:jc w:val="both"/>
        <w:rPr>
          <w:shd w:fill="FFFFFF" w:val="clear"/>
        </w:rPr>
      </w:pPr>
      <w:r>
        <w:rPr>
          <w:rFonts w:eastAsia="Calibri" w:ascii="Times New Roman" w:hAnsi="Times New Roman"/>
          <w:shd w:fill="FFFFFF" w:val="clear"/>
          <w:lang w:eastAsia="en-US"/>
        </w:rPr>
        <w:t xml:space="preserve">При учете командировочных расходов стоимость проезда (авиа-, ж/д, …) и проживания </w:t>
      </w:r>
      <w:r>
        <w:rPr>
          <w:rFonts w:ascii="Times New Roman" w:hAnsi="Times New Roman"/>
          <w:shd w:fill="FFFFFF" w:val="clear"/>
        </w:rPr>
        <w:t>определяется Методом анализа ТКП (не менее, чем из трех ИЦИ) в соответствии с Приложением №3 к Требованиям к оформлению и составлению сметной документации на выполнение работ. Допускается использовать открытые источники информации в сети Интернет (официальные сайты продаж ж/д и авиабилетов), при этом для расчета среднерыночной стоимости билетов берется минимум 3 (три) временных промежутка в течении месяца.</w:t>
      </w:r>
    </w:p>
    <w:p>
      <w:pPr>
        <w:sectPr>
          <w:footnotePr>
            <w:numFmt w:val="decimal"/>
            <w:numRestart w:val="eachPage"/>
          </w:footnotePr>
          <w:type w:val="nextPage"/>
          <w:pgSz w:w="11906" w:h="16838"/>
          <w:pgMar w:left="993" w:right="924" w:gutter="0" w:header="0" w:top="568" w:footer="0" w:bottom="720"/>
          <w:pgNumType w:fmt="decimal"/>
          <w:formProt w:val="false"/>
          <w:textDirection w:val="lrTb"/>
          <w:docGrid w:type="default" w:linePitch="360" w:charSpace="20480"/>
        </w:sectPr>
        <w:pStyle w:val="Normal"/>
        <w:tabs>
          <w:tab w:val="clear" w:pos="708"/>
          <w:tab w:val="left" w:pos="567" w:leader="none"/>
        </w:tabs>
        <w:spacing w:lineRule="auto" w:line="240" w:before="0" w:after="0"/>
        <w:ind w:firstLine="709"/>
        <w:contextualSpacing/>
        <w:jc w:val="both"/>
        <w:rPr>
          <w:shd w:fill="FFFFFF" w:val="clear"/>
        </w:rPr>
      </w:pPr>
      <w:r>
        <w:rPr>
          <w:rFonts w:eastAsia="Calibri" w:ascii="Times New Roman" w:hAnsi="Times New Roman"/>
          <w:shd w:fill="FFFFFF" w:val="clear"/>
          <w:lang w:eastAsia="en-US"/>
        </w:rPr>
        <w:t>При наличии командировочных расходов необходимо составлять общий реестр стоимости проездных билетов с разбивкой по сметам, к которым они относятся.</w:t>
      </w:r>
    </w:p>
    <w:p>
      <w:pPr>
        <w:pStyle w:val="Normal"/>
        <w:spacing w:lineRule="auto" w:line="240" w:before="0" w:after="0"/>
        <w:ind w:left="5811" w:hanging="0"/>
        <w:contextualSpacing/>
        <w:jc w:val="right"/>
        <w:rPr>
          <w:shd w:fill="FFFFFF" w:val="clear"/>
        </w:rPr>
      </w:pPr>
      <w:r>
        <w:rPr>
          <w:rFonts w:ascii="Times New Roman" w:hAnsi="Times New Roman"/>
          <w:sz w:val="20"/>
          <w:shd w:fill="FFFFFF" w:val="clear"/>
        </w:rPr>
        <w:t>Приложение №1</w:t>
      </w:r>
    </w:p>
    <w:p>
      <w:pPr>
        <w:pStyle w:val="Normal"/>
        <w:spacing w:lineRule="auto" w:line="240" w:before="0" w:after="0"/>
        <w:ind w:left="5811" w:hanging="0"/>
        <w:jc w:val="right"/>
        <w:rPr>
          <w:shd w:fill="FFFFFF" w:val="clear"/>
        </w:rPr>
      </w:pPr>
      <w:r>
        <w:rPr>
          <w:rFonts w:ascii="Times New Roman" w:hAnsi="Times New Roman"/>
          <w:sz w:val="20"/>
          <w:shd w:fill="FFFFFF" w:val="clear"/>
        </w:rPr>
        <w:t>к пояснительной записке</w:t>
      </w:r>
    </w:p>
    <w:p>
      <w:pPr>
        <w:pStyle w:val="Normal"/>
        <w:spacing w:lineRule="auto" w:line="240" w:before="0" w:after="0"/>
        <w:ind w:left="5811" w:hanging="0"/>
        <w:jc w:val="right"/>
        <w:rPr>
          <w:shd w:fill="FFFFFF" w:val="clear"/>
        </w:rPr>
      </w:pPr>
      <w:r>
        <w:rPr>
          <w:rFonts w:ascii="Times New Roman" w:hAnsi="Times New Roman"/>
          <w:sz w:val="20"/>
          <w:shd w:fill="FFFFFF" w:val="clear"/>
        </w:rPr>
        <w:t xml:space="preserve"> </w:t>
      </w:r>
      <w:r>
        <w:rPr>
          <w:rFonts w:ascii="Times New Roman" w:hAnsi="Times New Roman"/>
          <w:sz w:val="20"/>
          <w:shd w:fill="FFFFFF" w:val="clear"/>
        </w:rPr>
        <w:t>по заполнению формы 3П</w:t>
      </w:r>
    </w:p>
    <w:p>
      <w:pPr>
        <w:pStyle w:val="Normal"/>
        <w:spacing w:lineRule="auto" w:line="240" w:before="0" w:after="0"/>
        <w:ind w:left="5811" w:hanging="0"/>
        <w:jc w:val="center"/>
        <w:rPr>
          <w:rFonts w:ascii="Times New Roman" w:hAnsi="Times New Roman"/>
          <w:b/>
          <w:shd w:fill="FFFFFF" w:val="clear"/>
        </w:rPr>
      </w:pPr>
      <w:r>
        <w:rPr>
          <w:rFonts w:ascii="Times New Roman" w:hAnsi="Times New Roman"/>
          <w:b/>
          <w:shd w:fill="FFFFFF" w:val="clear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shd w:fill="FFFFFF" w:val="clear"/>
        </w:rPr>
      </w:pPr>
      <w:r>
        <w:rPr>
          <w:rFonts w:ascii="Times New Roman" w:hAnsi="Times New Roman"/>
          <w:b/>
          <w:shd w:fill="FFFFFF" w:val="clear"/>
        </w:rPr>
      </w:r>
    </w:p>
    <w:p>
      <w:pPr>
        <w:pStyle w:val="Normal"/>
        <w:spacing w:lineRule="auto" w:line="240" w:before="0" w:after="0"/>
        <w:jc w:val="center"/>
        <w:rPr>
          <w:shd w:fill="FFFFFF" w:val="clear"/>
        </w:rPr>
      </w:pPr>
      <w:r>
        <w:rPr>
          <w:rFonts w:ascii="Times New Roman" w:hAnsi="Times New Roman"/>
          <w:b/>
          <w:shd w:fill="FFFFFF" w:val="clear"/>
        </w:rPr>
        <w:t>СПРАВКА от__________ (указать дату составления справки) (Образец)</w:t>
      </w:r>
    </w:p>
    <w:p>
      <w:pPr>
        <w:pStyle w:val="Normal"/>
        <w:spacing w:lineRule="auto" w:line="240" w:before="0" w:after="0"/>
        <w:rPr>
          <w:shd w:fill="FFFFFF" w:val="clear"/>
        </w:rPr>
      </w:pPr>
      <w:r>
        <w:rPr>
          <w:rFonts w:ascii="Times New Roman" w:hAnsi="Times New Roman"/>
          <w:shd w:fill="FFFFFF" w:val="clear"/>
        </w:rPr>
        <w:t>Настоящим (краткое/полное наименование организации подрядчика/контрагента) сообщает о том, что средняя оплата труда специалистов за рабочий день составляет:</w:t>
      </w:r>
    </w:p>
    <w:p>
      <w:pPr>
        <w:pStyle w:val="Normal"/>
        <w:spacing w:lineRule="auto" w:line="240" w:before="0" w:after="0"/>
        <w:rPr>
          <w:rFonts w:ascii="Times New Roman" w:hAnsi="Times New Roman"/>
          <w:shd w:fill="FFFFFF" w:val="clear"/>
        </w:rPr>
      </w:pPr>
      <w:r>
        <w:rPr>
          <w:rFonts w:ascii="Times New Roman" w:hAnsi="Times New Roman"/>
          <w:shd w:fill="FFFFFF" w:val="clear"/>
        </w:rPr>
      </w:r>
    </w:p>
    <w:tbl>
      <w:tblPr>
        <w:tblW w:w="8793" w:type="dxa"/>
        <w:jc w:val="left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1747"/>
        <w:gridCol w:w="3942"/>
        <w:gridCol w:w="3104"/>
      </w:tblGrid>
      <w:tr>
        <w:trPr>
          <w:trHeight w:val="325" w:hRule="atLeast"/>
        </w:trPr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hd w:fill="FFFFFF" w:val="clear"/>
              </w:rPr>
            </w:pPr>
            <w:r>
              <w:rPr>
                <w:rFonts w:ascii="Times New Roman" w:hAnsi="Times New Roman"/>
                <w:color w:val="000000"/>
                <w:shd w:fill="FFFFFF" w:val="clear"/>
              </w:rPr>
              <w:t xml:space="preserve">№ </w:t>
            </w:r>
            <w:r>
              <w:rPr>
                <w:rFonts w:ascii="Times New Roman" w:hAnsi="Times New Roman"/>
                <w:color w:val="000000"/>
                <w:shd w:fill="FFFFFF" w:val="clear"/>
              </w:rPr>
              <w:t>п/п</w:t>
            </w:r>
          </w:p>
        </w:tc>
        <w:tc>
          <w:tcPr>
            <w:tcW w:w="39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hd w:fill="FFFFFF" w:val="clear"/>
              </w:rPr>
            </w:pPr>
            <w:r>
              <w:rPr>
                <w:rFonts w:ascii="Times New Roman" w:hAnsi="Times New Roman"/>
                <w:shd w:fill="FFFFFF" w:val="clear"/>
              </w:rPr>
              <w:t>Должность специалиста</w:t>
            </w:r>
          </w:p>
        </w:tc>
        <w:tc>
          <w:tcPr>
            <w:tcW w:w="3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hd w:fill="FFFFFF" w:val="clear"/>
              </w:rPr>
            </w:pPr>
            <w:r>
              <w:rPr>
                <w:rFonts w:ascii="Times New Roman" w:hAnsi="Times New Roman"/>
                <w:shd w:fill="FFFFFF" w:val="clear"/>
              </w:rPr>
              <w:t>Заработная плата в день, в руб.</w:t>
            </w:r>
          </w:p>
        </w:tc>
      </w:tr>
      <w:tr>
        <w:trPr>
          <w:trHeight w:val="630" w:hRule="atLeast"/>
        </w:trPr>
        <w:tc>
          <w:tcPr>
            <w:tcW w:w="17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hd w:fill="FFFFFF" w:val="clear"/>
              </w:rPr>
            </w:pPr>
            <w:r>
              <w:rPr>
                <w:rFonts w:ascii="Times New Roman" w:hAnsi="Times New Roman"/>
                <w:color w:val="000000"/>
                <w:shd w:fill="FFFFFF" w:val="clear"/>
              </w:rPr>
              <w:t>1</w:t>
            </w:r>
          </w:p>
        </w:tc>
        <w:tc>
          <w:tcPr>
            <w:tcW w:w="39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hd w:fill="FFFFFF" w:val="clear"/>
              </w:rPr>
            </w:pPr>
            <w:r>
              <w:rPr>
                <w:rFonts w:ascii="Times New Roman" w:hAnsi="Times New Roman"/>
                <w:shd w:fill="FFFFFF" w:val="clear"/>
              </w:rPr>
              <w:t>(указать должность)</w:t>
            </w:r>
          </w:p>
        </w:tc>
        <w:tc>
          <w:tcPr>
            <w:tcW w:w="310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hd w:fill="FFFFFF" w:val="clear"/>
              </w:rPr>
            </w:pPr>
            <w:r>
              <w:rPr>
                <w:rFonts w:ascii="Times New Roman" w:hAnsi="Times New Roman"/>
                <w:color w:val="000000"/>
                <w:shd w:fill="FFFFFF" w:val="clear"/>
              </w:rPr>
              <w:t>-</w:t>
            </w:r>
          </w:p>
        </w:tc>
      </w:tr>
      <w:tr>
        <w:trPr>
          <w:trHeight w:val="581" w:hRule="atLeast"/>
        </w:trPr>
        <w:tc>
          <w:tcPr>
            <w:tcW w:w="17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hd w:fill="FFFFFF" w:val="clear"/>
              </w:rPr>
            </w:pPr>
            <w:r>
              <w:rPr>
                <w:rFonts w:ascii="Times New Roman" w:hAnsi="Times New Roman"/>
                <w:color w:val="000000"/>
                <w:shd w:fill="FFFFFF" w:val="clear"/>
              </w:rPr>
              <w:t>2</w:t>
            </w:r>
          </w:p>
        </w:tc>
        <w:tc>
          <w:tcPr>
            <w:tcW w:w="39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hd w:fill="FFFFFF" w:val="clear"/>
              </w:rPr>
            </w:pPr>
            <w:r>
              <w:rPr>
                <w:rFonts w:ascii="Times New Roman" w:hAnsi="Times New Roman"/>
                <w:shd w:fill="FFFFFF" w:val="clear"/>
              </w:rPr>
              <w:t>(указать должность)</w:t>
            </w:r>
          </w:p>
        </w:tc>
        <w:tc>
          <w:tcPr>
            <w:tcW w:w="310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hd w:fill="FFFFFF" w:val="clear"/>
              </w:rPr>
            </w:pPr>
            <w:r>
              <w:rPr>
                <w:rFonts w:ascii="Times New Roman" w:hAnsi="Times New Roman"/>
                <w:color w:val="000000"/>
                <w:shd w:fill="FFFFFF" w:val="clear"/>
              </w:rPr>
              <w:t>-</w:t>
            </w:r>
          </w:p>
        </w:tc>
      </w:tr>
      <w:tr>
        <w:trPr>
          <w:trHeight w:val="634" w:hRule="atLeast"/>
        </w:trPr>
        <w:tc>
          <w:tcPr>
            <w:tcW w:w="17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hd w:fill="FFFFFF" w:val="clear"/>
              </w:rPr>
            </w:pPr>
            <w:r>
              <w:rPr>
                <w:rFonts w:ascii="Times New Roman" w:hAnsi="Times New Roman"/>
                <w:color w:val="000000"/>
                <w:shd w:fill="FFFFFF" w:val="clear"/>
              </w:rPr>
              <w:t>3</w:t>
            </w:r>
          </w:p>
        </w:tc>
        <w:tc>
          <w:tcPr>
            <w:tcW w:w="39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hd w:fill="FFFFFF" w:val="clear"/>
              </w:rPr>
            </w:pPr>
            <w:r>
              <w:rPr>
                <w:rFonts w:ascii="Times New Roman" w:hAnsi="Times New Roman"/>
                <w:shd w:fill="FFFFFF" w:val="clear"/>
              </w:rPr>
              <w:t>(указать должность)</w:t>
            </w:r>
          </w:p>
        </w:tc>
        <w:tc>
          <w:tcPr>
            <w:tcW w:w="310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hd w:fill="FFFFFF" w:val="clear"/>
              </w:rPr>
            </w:pPr>
            <w:r>
              <w:rPr>
                <w:rFonts w:ascii="Times New Roman" w:hAnsi="Times New Roman"/>
                <w:color w:val="000000"/>
                <w:shd w:fill="FFFFFF" w:val="clear"/>
              </w:rPr>
              <w:t>-</w:t>
            </w:r>
          </w:p>
        </w:tc>
      </w:tr>
    </w:tbl>
    <w:p>
      <w:pPr>
        <w:pStyle w:val="Normal"/>
        <w:spacing w:lineRule="auto" w:line="240" w:before="0" w:after="0"/>
        <w:rPr>
          <w:shd w:fill="FFFFFF" w:val="clear"/>
        </w:rPr>
      </w:pPr>
      <w:r>
        <w:rPr>
          <w:rFonts w:ascii="Times New Roman" w:hAnsi="Times New Roman"/>
          <w:shd w:fill="FFFFFF" w:val="clear"/>
        </w:rPr>
        <w:tab/>
      </w:r>
    </w:p>
    <w:p>
      <w:pPr>
        <w:pStyle w:val="Normal"/>
        <w:spacing w:lineRule="auto" w:line="240" w:before="0" w:after="0"/>
        <w:rPr>
          <w:shd w:fill="FFFFFF" w:val="clear"/>
        </w:rPr>
      </w:pPr>
      <w:r>
        <w:rPr>
          <w:rFonts w:ascii="Times New Roman" w:hAnsi="Times New Roman"/>
          <w:shd w:fill="FFFFFF" w:val="clear"/>
        </w:rPr>
        <w:t>Накладные расходы _______(%)</w:t>
        <w:tab/>
        <w:tab/>
        <w:tab/>
        <w:tab/>
        <w:tab/>
        <w:tab/>
      </w:r>
    </w:p>
    <w:p>
      <w:pPr>
        <w:pStyle w:val="Normal"/>
        <w:spacing w:lineRule="auto" w:line="240" w:before="0" w:after="0"/>
        <w:rPr>
          <w:shd w:fill="FFFFFF" w:val="clear"/>
        </w:rPr>
      </w:pPr>
      <w:r>
        <w:rPr>
          <w:rFonts w:ascii="Times New Roman" w:hAnsi="Times New Roman"/>
          <w:shd w:fill="FFFFFF" w:val="clear"/>
        </w:rPr>
        <w:t>Рентабельность предприятия_________(%)</w:t>
        <w:tab/>
        <w:tab/>
        <w:tab/>
        <w:tab/>
        <w:tab/>
        <w:tab/>
        <w:t xml:space="preserve"> </w:t>
      </w:r>
    </w:p>
    <w:p>
      <w:pPr>
        <w:pStyle w:val="Normal"/>
        <w:spacing w:lineRule="auto" w:line="240" w:before="0" w:after="0"/>
        <w:rPr>
          <w:rFonts w:ascii="Times New Roman" w:hAnsi="Times New Roman"/>
          <w:shd w:fill="FFFFFF" w:val="clear"/>
        </w:rPr>
      </w:pPr>
      <w:r>
        <w:rPr>
          <w:rFonts w:ascii="Times New Roman" w:hAnsi="Times New Roman"/>
          <w:shd w:fill="FFFFFF" w:val="clear"/>
        </w:rPr>
      </w:r>
    </w:p>
    <w:p>
      <w:pPr>
        <w:pStyle w:val="Normal"/>
        <w:spacing w:lineRule="auto" w:line="240" w:before="0" w:after="0"/>
        <w:rPr>
          <w:shd w:fill="FFFFFF" w:val="clear"/>
        </w:rPr>
      </w:pPr>
      <w:r>
        <w:rPr>
          <w:rFonts w:ascii="Times New Roman" w:hAnsi="Times New Roman"/>
          <w:b/>
          <w:shd w:fill="FFFFFF" w:val="clear"/>
        </w:rPr>
        <w:t>Дата</w:t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shd w:fill="FFFFFF" w:val="clear"/>
        </w:rPr>
      </w:pPr>
      <w:r>
        <w:rPr>
          <w:rFonts w:ascii="Times New Roman" w:hAnsi="Times New Roman"/>
          <w:b/>
          <w:shd w:fill="FFFFFF" w:val="clear"/>
        </w:rPr>
      </w:r>
    </w:p>
    <w:p>
      <w:pPr>
        <w:pStyle w:val="Normal"/>
        <w:spacing w:lineRule="auto" w:line="240" w:before="0" w:after="0"/>
        <w:jc w:val="both"/>
        <w:rPr>
          <w:shd w:fill="FFFFFF" w:val="clear"/>
        </w:rPr>
      </w:pPr>
      <w:r>
        <w:rPr>
          <w:rFonts w:ascii="Times New Roman" w:hAnsi="Times New Roman"/>
          <w:shd w:fill="FFFFFF" w:val="clear"/>
        </w:rPr>
        <w:t>(Должность единоличного исполнительного органа контрагента/подрядчика)</w:t>
        <w:tab/>
        <w:tab/>
      </w:r>
    </w:p>
    <w:p>
      <w:pPr>
        <w:pStyle w:val="Normal"/>
        <w:spacing w:lineRule="auto" w:line="240" w:before="0" w:after="0"/>
        <w:jc w:val="both"/>
        <w:rPr>
          <w:shd w:fill="FFFFFF" w:val="clear"/>
        </w:rPr>
      </w:pPr>
      <w:r>
        <w:rPr>
          <w:rFonts w:ascii="Times New Roman" w:hAnsi="Times New Roman"/>
          <w:shd w:fill="FFFFFF" w:val="clear"/>
        </w:rPr>
        <w:t>(краткое/полное наименование организации) ________________ (ФИО)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hd w:fill="FFFFFF" w:val="clear"/>
        </w:rPr>
      </w:pPr>
      <w:r>
        <w:rPr>
          <w:rFonts w:ascii="Times New Roman" w:hAnsi="Times New Roman"/>
          <w:shd w:fill="FFFFFF" w:val="clear"/>
        </w:rPr>
      </w:r>
    </w:p>
    <w:p>
      <w:pPr>
        <w:pStyle w:val="Normal"/>
        <w:spacing w:lineRule="auto" w:line="240" w:before="0" w:after="0"/>
        <w:jc w:val="both"/>
        <w:rPr>
          <w:shd w:fill="FFFFFF" w:val="clear"/>
        </w:rPr>
      </w:pPr>
      <w:r>
        <w:rPr>
          <w:rFonts w:ascii="Times New Roman" w:hAnsi="Times New Roman"/>
          <w:shd w:fill="FFFFFF" w:val="clear"/>
        </w:rPr>
        <w:t>м.п.</w:t>
      </w:r>
    </w:p>
    <w:p>
      <w:pPr>
        <w:pStyle w:val="Normal"/>
        <w:spacing w:lineRule="auto" w:line="240" w:before="0" w:after="0"/>
        <w:jc w:val="both"/>
        <w:rPr>
          <w:shd w:fill="FFFFFF" w:val="clear"/>
        </w:rPr>
      </w:pPr>
      <w:r>
        <w:rPr>
          <w:rFonts w:ascii="Times New Roman" w:hAnsi="Times New Roman"/>
          <w:shd w:fill="FFFFFF" w:val="clear"/>
        </w:rPr>
        <w:t>(Главный бухгалтер)</w:t>
      </w:r>
      <w:r>
        <w:rPr>
          <w:rStyle w:val="FootnoteReference"/>
          <w:rFonts w:ascii="Times New Roman" w:hAnsi="Times New Roman"/>
          <w:shd w:fill="FFFFFF" w:val="clear"/>
        </w:rPr>
        <w:footnoteReference w:id="4"/>
      </w:r>
      <w:r>
        <w:rPr>
          <w:rFonts w:ascii="Times New Roman" w:hAnsi="Times New Roman"/>
          <w:shd w:fill="FFFFFF" w:val="clear"/>
        </w:rPr>
        <w:tab/>
        <w:tab/>
      </w:r>
    </w:p>
    <w:p>
      <w:pPr>
        <w:pStyle w:val="Normal"/>
        <w:spacing w:lineRule="auto" w:line="240" w:before="0" w:after="0"/>
        <w:jc w:val="both"/>
        <w:rPr>
          <w:shd w:fill="FFFFFF" w:val="clear"/>
        </w:rPr>
      </w:pPr>
      <w:r>
        <w:rPr>
          <w:rFonts w:ascii="Times New Roman" w:hAnsi="Times New Roman"/>
          <w:shd w:fill="FFFFFF" w:val="clear"/>
        </w:rPr>
        <w:t>(краткое/полное наименование организации контрагента/подрядчика) _________ (ФИО)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hd w:fill="FFFFFF" w:val="clear"/>
        </w:rPr>
      </w:pPr>
      <w:r>
        <w:rPr>
          <w:rFonts w:ascii="Times New Roman" w:hAnsi="Times New Roman"/>
          <w:shd w:fill="FFFFFF" w:val="clear"/>
        </w:rPr>
      </w:r>
    </w:p>
    <w:p>
      <w:pPr>
        <w:pStyle w:val="Normal"/>
        <w:spacing w:lineRule="auto" w:line="240" w:before="0" w:after="0"/>
        <w:jc w:val="both"/>
        <w:rPr>
          <w:shd w:fill="FFFFFF" w:val="clear"/>
        </w:rPr>
      </w:pPr>
      <w:r>
        <w:rPr>
          <w:rFonts w:ascii="Times New Roman" w:hAnsi="Times New Roman"/>
          <w:shd w:fill="FFFFFF" w:val="clear"/>
        </w:rPr>
        <w:t>м.п.</w:t>
      </w:r>
    </w:p>
    <w:p>
      <w:pPr>
        <w:pStyle w:val="ConsPlusNormal1"/>
        <w:widowControl/>
        <w:ind w:hanging="0"/>
        <w:jc w:val="both"/>
        <w:rPr>
          <w:rFonts w:ascii="Times New Roman" w:hAnsi="Times New Roman" w:cs="Times New Roman"/>
          <w:sz w:val="22"/>
          <w:szCs w:val="22"/>
          <w:shd w:fill="FFFFFF" w:val="clear"/>
        </w:rPr>
      </w:pPr>
      <w:r>
        <w:rPr>
          <w:rFonts w:cs="Times New Roman" w:ascii="Times New Roman" w:hAnsi="Times New Roman"/>
          <w:sz w:val="22"/>
          <w:szCs w:val="22"/>
          <w:shd w:fill="FFFFFF" w:val="clear"/>
        </w:rPr>
      </w:r>
      <w:r>
        <w:br w:type="page"/>
      </w:r>
    </w:p>
    <w:p>
      <w:pPr>
        <w:pStyle w:val="Normal"/>
        <w:spacing w:lineRule="auto" w:line="240" w:before="0" w:after="0"/>
        <w:ind w:left="5811" w:hanging="0"/>
        <w:jc w:val="right"/>
        <w:rPr>
          <w:shd w:fill="FFFFFF" w:val="clear"/>
        </w:rPr>
      </w:pPr>
      <w:r>
        <w:rPr>
          <w:rFonts w:ascii="Times New Roman" w:hAnsi="Times New Roman"/>
          <w:sz w:val="20"/>
          <w:szCs w:val="20"/>
          <w:shd w:fill="FFFFFF" w:val="clear"/>
        </w:rPr>
        <w:t>Приложение №2</w:t>
      </w:r>
    </w:p>
    <w:p>
      <w:pPr>
        <w:pStyle w:val="Normal"/>
        <w:spacing w:lineRule="auto" w:line="240" w:before="0" w:after="0"/>
        <w:ind w:left="5811" w:hanging="0"/>
        <w:jc w:val="right"/>
        <w:rPr>
          <w:shd w:fill="FFFFFF" w:val="clear"/>
        </w:rPr>
      </w:pPr>
      <w:r>
        <w:rPr>
          <w:rFonts w:ascii="Times New Roman" w:hAnsi="Times New Roman"/>
          <w:sz w:val="20"/>
          <w:szCs w:val="20"/>
          <w:shd w:fill="FFFFFF" w:val="clear"/>
        </w:rPr>
        <w:t>к пояснительной записке</w:t>
      </w:r>
    </w:p>
    <w:p>
      <w:pPr>
        <w:pStyle w:val="Normal"/>
        <w:spacing w:lineRule="auto" w:line="240" w:before="0" w:after="0"/>
        <w:ind w:left="5811" w:hanging="0"/>
        <w:jc w:val="right"/>
        <w:rPr>
          <w:shd w:fill="FFFFFF" w:val="clear"/>
        </w:rPr>
      </w:pPr>
      <w:r>
        <w:rPr>
          <w:rFonts w:ascii="Times New Roman" w:hAnsi="Times New Roman"/>
          <w:sz w:val="20"/>
          <w:szCs w:val="20"/>
          <w:shd w:fill="FFFFFF" w:val="clear"/>
        </w:rPr>
        <w:t xml:space="preserve"> </w:t>
      </w:r>
      <w:r>
        <w:rPr>
          <w:rFonts w:ascii="Times New Roman" w:hAnsi="Times New Roman"/>
          <w:sz w:val="20"/>
          <w:szCs w:val="20"/>
          <w:shd w:fill="FFFFFF" w:val="clear"/>
        </w:rPr>
        <w:t>по заполнению формы 3П</w:t>
      </w:r>
    </w:p>
    <w:p>
      <w:pPr>
        <w:pStyle w:val="Normal"/>
        <w:spacing w:lineRule="auto" w:line="240" w:before="0" w:after="0"/>
        <w:ind w:left="5811" w:hanging="0"/>
        <w:rPr>
          <w:rFonts w:ascii="Times New Roman" w:hAnsi="Times New Roman"/>
          <w:sz w:val="20"/>
          <w:szCs w:val="20"/>
          <w:shd w:fill="FFFFFF" w:val="clear"/>
        </w:rPr>
      </w:pPr>
      <w:r>
        <w:rPr>
          <w:rFonts w:ascii="Times New Roman" w:hAnsi="Times New Roman"/>
          <w:sz w:val="20"/>
          <w:szCs w:val="20"/>
          <w:shd w:fill="FFFFFF" w:val="clear"/>
        </w:rPr>
      </w:r>
    </w:p>
    <w:p>
      <w:pPr>
        <w:pStyle w:val="Normal"/>
        <w:spacing w:lineRule="auto" w:line="240" w:before="0" w:after="0"/>
        <w:rPr>
          <w:color w:val="FF0000"/>
          <w:sz w:val="24"/>
          <w:szCs w:val="24"/>
          <w:shd w:fill="FFFFFF" w:val="clear"/>
        </w:rPr>
      </w:pPr>
      <w:r>
        <w:rPr>
          <w:color w:val="FF0000"/>
          <w:sz w:val="24"/>
          <w:szCs w:val="24"/>
          <w:shd w:fill="FFFFFF" w:val="clear"/>
        </w:rPr>
      </w:r>
    </w:p>
    <w:p>
      <w:pPr>
        <w:pStyle w:val="Normal"/>
        <w:spacing w:lineRule="auto" w:line="240" w:before="0" w:after="0"/>
        <w:rPr>
          <w:shd w:fill="FFFFFF" w:val="clear"/>
        </w:rPr>
      </w:pPr>
      <w:r>
        <w:rPr>
          <w:rFonts w:ascii="Times New Roman" w:hAnsi="Times New Roman"/>
          <w:b/>
          <w:shd w:fill="FFFFFF" w:val="clear"/>
        </w:rPr>
        <w:t xml:space="preserve">Образец расчета командировочных расходов </w:t>
      </w:r>
    </w:p>
    <w:p>
      <w:pPr>
        <w:pStyle w:val="Normal"/>
        <w:spacing w:lineRule="auto" w:line="240" w:before="0" w:after="0"/>
        <w:ind w:hanging="567"/>
        <w:jc w:val="right"/>
        <w:rPr>
          <w:shd w:fill="FFFFFF" w:val="clear"/>
        </w:rPr>
      </w:pPr>
      <w:r>
        <w:rPr>
          <w:rFonts w:ascii="Times New Roman" w:hAnsi="Times New Roman"/>
          <w:shd w:fill="FFFFFF" w:val="clear"/>
        </w:rPr>
        <w:t>Приложение № __ к смете № __</w:t>
      </w:r>
    </w:p>
    <w:p>
      <w:pPr>
        <w:pStyle w:val="Normal"/>
        <w:spacing w:lineRule="auto" w:line="240" w:before="0" w:after="0"/>
        <w:ind w:hanging="567"/>
        <w:jc w:val="center"/>
        <w:rPr>
          <w:shd w:fill="FFFFFF" w:val="clear"/>
        </w:rPr>
      </w:pPr>
      <w:r>
        <w:rPr>
          <w:rFonts w:ascii="Times New Roman" w:hAnsi="Times New Roman"/>
          <w:b/>
          <w:shd w:fill="FFFFFF" w:val="clear"/>
        </w:rPr>
        <w:t>Расчет командировочных расходов</w:t>
      </w:r>
    </w:p>
    <w:tbl>
      <w:tblPr>
        <w:tblW w:w="10661" w:type="dxa"/>
        <w:jc w:val="left"/>
        <w:tblInd w:w="-31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459"/>
        <w:gridCol w:w="142"/>
        <w:gridCol w:w="987"/>
        <w:gridCol w:w="710"/>
        <w:gridCol w:w="1275"/>
        <w:gridCol w:w="709"/>
        <w:gridCol w:w="1442"/>
        <w:gridCol w:w="1313"/>
        <w:gridCol w:w="937"/>
        <w:gridCol w:w="1130"/>
        <w:gridCol w:w="1556"/>
      </w:tblGrid>
      <w:tr>
        <w:trPr/>
        <w:tc>
          <w:tcPr>
            <w:tcW w:w="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hd w:fill="FFFFFF" w:val="clear"/>
              </w:rPr>
            </w:pPr>
            <w:r>
              <w:rPr>
                <w:rFonts w:ascii="Times New Roman" w:hAnsi="Times New Roman"/>
                <w:shd w:fill="FFFFFF" w:val="clear"/>
              </w:rPr>
              <w:t xml:space="preserve">№ </w:t>
            </w:r>
            <w:r>
              <w:rPr>
                <w:rFonts w:ascii="Times New Roman" w:hAnsi="Times New Roman"/>
                <w:shd w:fill="FFFFFF" w:val="clear"/>
              </w:rPr>
              <w:t>п</w:t>
            </w:r>
            <w:r>
              <w:rPr>
                <w:rFonts w:ascii="Times New Roman" w:hAnsi="Times New Roman"/>
                <w:shd w:fill="FFFFFF" w:val="clear"/>
                <w:lang w:val="en-US"/>
              </w:rPr>
              <w:t>/</w:t>
            </w:r>
            <w:r>
              <w:rPr>
                <w:rFonts w:ascii="Times New Roman" w:hAnsi="Times New Roman"/>
                <w:shd w:fill="FFFFFF" w:val="clear"/>
              </w:rPr>
              <w:t>п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  <w:t xml:space="preserve">Пункт назначения </w:t>
              <w:br/>
              <w:t>(туда / обратно)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  <w:t xml:space="preserve">Вид транспорта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  <w:t>Стоимость проезда, руб. (без НДС)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  <w:t>Кол-во дней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  <w:t xml:space="preserve">Стоимость суточных, руб./сут. </w:t>
              <w:br/>
              <w:t>(без НДС)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  <w:t xml:space="preserve">Стоимость проживания, руб./сут.. </w:t>
              <w:br/>
              <w:t>(без НДС)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  <w:t>Кол-во командировок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  <w:t>Кол-во командированных человек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  <w:t xml:space="preserve">Итого стоимость командировочных расходов, руб. </w:t>
              <w:br/>
              <w:t>(без НДС)</w:t>
            </w:r>
          </w:p>
        </w:tc>
      </w:tr>
      <w:tr>
        <w:trPr/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1020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  <w:t>Из пункта 1 в пункт 5</w:t>
            </w:r>
          </w:p>
        </w:tc>
      </w:tr>
      <w:tr>
        <w:trPr/>
        <w:tc>
          <w:tcPr>
            <w:tcW w:w="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hd w:fill="FFFFFF" w:val="clear"/>
              </w:rPr>
            </w:pPr>
            <w:r>
              <w:rPr>
                <w:rFonts w:ascii="Times New Roman" w:hAnsi="Times New Roman"/>
                <w:shd w:fill="FFFFFF" w:val="clear"/>
              </w:rPr>
              <w:t>1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  <w:t>Из пункта 1 в пункт 2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</w:tr>
      <w:tr>
        <w:trPr/>
        <w:tc>
          <w:tcPr>
            <w:tcW w:w="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hd w:fill="FFFFFF" w:val="clear"/>
              </w:rPr>
            </w:pPr>
            <w:r>
              <w:rPr>
                <w:rFonts w:ascii="Times New Roman" w:hAnsi="Times New Roman"/>
                <w:shd w:fill="FFFFFF" w:val="clear"/>
              </w:rPr>
              <w:t>2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  <w:t>Из пункта 2 в пункт 3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</w:tr>
      <w:tr>
        <w:trPr/>
        <w:tc>
          <w:tcPr>
            <w:tcW w:w="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hd w:fill="FFFFFF" w:val="clear"/>
              </w:rPr>
            </w:pPr>
            <w:r>
              <w:rPr>
                <w:rFonts w:ascii="Times New Roman" w:hAnsi="Times New Roman"/>
                <w:shd w:fill="FFFFFF" w:val="clear"/>
              </w:rPr>
              <w:t>…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  <w:t>…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  <w:t>…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  <w:t>…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  <w:t>…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  <w:t>…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  <w:t>…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  <w:t>…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  <w:t>…</w:t>
            </w:r>
          </w:p>
        </w:tc>
      </w:tr>
      <w:tr>
        <w:trPr/>
        <w:tc>
          <w:tcPr>
            <w:tcW w:w="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hd w:fill="FFFFFF" w:val="clear"/>
              </w:rPr>
            </w:pPr>
            <w:r>
              <w:rPr>
                <w:rFonts w:ascii="Times New Roman" w:hAnsi="Times New Roman"/>
                <w:shd w:fill="FFFFFF" w:val="clear"/>
              </w:rPr>
              <w:t>5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  <w:t>Из пункта 4 в пункт 5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</w:tr>
      <w:tr>
        <w:trPr/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864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  <w:t>Итого стоимость командировочных расходов из пункта 1 в пункт 5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</w:tr>
      <w:tr>
        <w:trPr>
          <w:trHeight w:val="217" w:hRule="atLeast"/>
        </w:trPr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1020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  <w:t>Из пункта 5 в пункт 1</w:t>
            </w:r>
          </w:p>
        </w:tc>
      </w:tr>
      <w:tr>
        <w:trPr/>
        <w:tc>
          <w:tcPr>
            <w:tcW w:w="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hd w:fill="FFFFFF" w:val="clear"/>
              </w:rPr>
            </w:pPr>
            <w:r>
              <w:rPr>
                <w:rFonts w:ascii="Times New Roman" w:hAnsi="Times New Roman"/>
                <w:shd w:fill="FFFFFF" w:val="clear"/>
              </w:rPr>
              <w:t>6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  <w:t>Из пункта 5 в пункт 4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</w:tr>
      <w:tr>
        <w:trPr/>
        <w:tc>
          <w:tcPr>
            <w:tcW w:w="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hd w:fill="FFFFFF" w:val="clear"/>
              </w:rPr>
            </w:pPr>
            <w:r>
              <w:rPr>
                <w:rFonts w:ascii="Times New Roman" w:hAnsi="Times New Roman"/>
                <w:shd w:fill="FFFFFF" w:val="clear"/>
              </w:rPr>
              <w:t>7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  <w:t>Из пункта 4 в пункт 3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</w:tr>
      <w:tr>
        <w:trPr/>
        <w:tc>
          <w:tcPr>
            <w:tcW w:w="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hd w:fill="FFFFFF" w:val="clear"/>
              </w:rPr>
            </w:pPr>
            <w:r>
              <w:rPr>
                <w:rFonts w:ascii="Times New Roman" w:hAnsi="Times New Roman"/>
                <w:shd w:fill="FFFFFF" w:val="clear"/>
              </w:rPr>
              <w:t>…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  <w:t>…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  <w:t>…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  <w:t>…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  <w:t>…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  <w:t>…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  <w:t>…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  <w:t>…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  <w:t>…</w:t>
            </w:r>
          </w:p>
        </w:tc>
      </w:tr>
      <w:tr>
        <w:trPr/>
        <w:tc>
          <w:tcPr>
            <w:tcW w:w="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hd w:fill="FFFFFF" w:val="clear"/>
              </w:rPr>
            </w:pPr>
            <w:r>
              <w:rPr>
                <w:rFonts w:ascii="Times New Roman" w:hAnsi="Times New Roman"/>
                <w:shd w:fill="FFFFFF" w:val="clear"/>
              </w:rPr>
              <w:t>9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  <w:t>Из пункта 2 в пункт 1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</w:tr>
      <w:tr>
        <w:trPr/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  <w:tc>
          <w:tcPr>
            <w:tcW w:w="864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  <w:t>Итого стоимость командировочных расходов из пункта 5 в пункт 1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  <w:shd w:fill="FFFFFF" w:val="clear"/>
              </w:rPr>
            </w:pPr>
            <w:r>
              <w:rPr>
                <w:rFonts w:ascii="Times New Roman" w:hAnsi="Times New Roman"/>
                <w:sz w:val="20"/>
                <w:szCs w:val="20"/>
                <w:shd w:fill="FFFFFF" w:val="clear"/>
              </w:rPr>
            </w:r>
          </w:p>
        </w:tc>
      </w:tr>
    </w:tbl>
    <w:p>
      <w:pPr>
        <w:pStyle w:val="Normal"/>
        <w:rPr>
          <w:shd w:fill="FFFFFF" w:val="clear"/>
        </w:rPr>
      </w:pPr>
      <w:r>
        <w:rPr>
          <w:shd w:fill="FFFFFF" w:val="clear"/>
        </w:rPr>
      </w:r>
    </w:p>
    <w:p>
      <w:pPr>
        <w:pStyle w:val="Normal"/>
        <w:spacing w:before="0" w:after="0"/>
        <w:jc w:val="right"/>
        <w:rPr>
          <w:shd w:fill="FFFFFF" w:val="clear"/>
        </w:rPr>
      </w:pPr>
      <w:r>
        <w:rPr>
          <w:rFonts w:ascii="Times New Roman" w:hAnsi="Times New Roman"/>
          <w:shd w:fill="FFFFFF" w:val="clear"/>
        </w:rPr>
        <w:t xml:space="preserve">Приложение №3 к Требованиям к оформлению </w:t>
      </w:r>
    </w:p>
    <w:p>
      <w:pPr>
        <w:pStyle w:val="Normal"/>
        <w:spacing w:before="0" w:after="0"/>
        <w:jc w:val="right"/>
        <w:rPr>
          <w:shd w:fill="FFFFFF" w:val="clear"/>
        </w:rPr>
      </w:pPr>
      <w:r>
        <w:rPr>
          <w:rFonts w:ascii="Times New Roman" w:hAnsi="Times New Roman"/>
          <w:shd w:fill="FFFFFF" w:val="clear"/>
        </w:rPr>
        <w:t>и составлению сметной документации на выполнение</w:t>
      </w:r>
    </w:p>
    <w:p>
      <w:pPr>
        <w:pStyle w:val="Normal"/>
        <w:spacing w:before="0" w:after="0"/>
        <w:jc w:val="right"/>
        <w:rPr>
          <w:shd w:fill="FFFFFF" w:val="clear"/>
        </w:rPr>
      </w:pPr>
      <w:r>
        <w:rPr>
          <w:rFonts w:ascii="Times New Roman" w:hAnsi="Times New Roman"/>
          <w:shd w:fill="FFFFFF" w:val="clear"/>
        </w:rPr>
        <w:t xml:space="preserve"> </w:t>
      </w:r>
      <w:r>
        <w:rPr>
          <w:rFonts w:ascii="Times New Roman" w:hAnsi="Times New Roman"/>
          <w:shd w:fill="FFFFFF" w:val="clear"/>
        </w:rPr>
        <w:t>работ по программе реконструкции и техническому перевооружению</w:t>
      </w:r>
    </w:p>
    <w:p>
      <w:pPr>
        <w:pStyle w:val="Normal"/>
        <w:spacing w:before="0" w:after="0"/>
        <w:jc w:val="right"/>
        <w:rPr>
          <w:shd w:fill="FFFFFF" w:val="clear"/>
        </w:rPr>
      </w:pPr>
      <w:r>
        <w:rPr>
          <w:shd w:fill="FFFFFF" w:val="clear"/>
        </w:rPr>
      </w:r>
      <w:bookmarkStart w:id="38" w:name="_MON_1750149553"/>
      <w:bookmarkStart w:id="39" w:name="_Hlk136866684"/>
      <w:bookmarkStart w:id="40" w:name="_MON_1750149553"/>
      <w:bookmarkStart w:id="41" w:name="_Hlk136866684"/>
      <w:bookmarkEnd w:id="40"/>
      <w:bookmarkEnd w:id="41"/>
    </w:p>
    <w:p>
      <w:pPr>
        <w:pStyle w:val="Normal"/>
        <w:spacing w:before="0" w:after="0"/>
        <w:jc w:val="center"/>
        <w:rPr/>
      </w:pPr>
      <w:r>
        <w:rPr/>
        <mc:AlternateContent>
          <mc:Choice Requires="wps">
            <w:drawing>
              <wp:anchor behindDoc="0" distT="0" distB="0" distL="635" distR="0" simplePos="0" locked="0" layoutInCell="0" allowOverlap="1" relativeHeight="7">
                <wp:simplePos x="0" y="0"/>
                <wp:positionH relativeFrom="column">
                  <wp:posOffset>635</wp:posOffset>
                </wp:positionH>
                <wp:positionV relativeFrom="paragraph">
                  <wp:posOffset>635</wp:posOffset>
                </wp:positionV>
                <wp:extent cx="635000" cy="635000"/>
                <wp:effectExtent l="635" t="0" r="0" b="0"/>
                <wp:wrapNone/>
                <wp:docPr id="2" name="_x0000_tole_rId3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40" cy="63504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_x0000_tole_rId3" path="m0,0l-2147483645,0l-2147483645,-2147483646l0,-2147483646xe" stroked="f" o:allowincell="f" style="position:absolute;margin-left:0.05pt;margin-top:0.05pt;width:49.95pt;height:49.95pt;mso-wrap-style:none;v-text-anchor:middle">
                <v:fill o:detectmouseclick="t" on="false"/>
                <v:stroke color="#3465a4" joinstyle="round" endcap="flat"/>
                <w10:wrap type="none"/>
              </v:rect>
            </w:pict>
          </mc:Fallback>
        </mc:AlternateContent>
        <w:object>
          <v:shapetype id="_x0000_tole_rId3" coordsize="21600,21600" o:spt="ole_rId3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le_rId3" type="_x0000_tole_rId3" style="width:96.5pt;height:62.5pt;mso-wrap-distance-right:0pt" filled="f" o:ole="">
            <v:imagedata r:id="rId4" o:title=""/>
          </v:shape>
          <o:OLEObject Type="Embed" ProgID="Excel.Sheet.12" ShapeID="ole_rId3" DrawAspect="Icon" ObjectID="_1752133905" r:id="rId3"/>
        </w:object>
      </w:r>
      <w:bookmarkStart w:id="42" w:name="_GoBack"/>
      <w:bookmarkEnd w:id="42"/>
    </w:p>
    <w:p>
      <w:pPr>
        <w:pStyle w:val="Normal"/>
        <w:spacing w:before="0" w:after="0"/>
        <w:jc w:val="center"/>
        <w:rPr/>
      </w:pPr>
      <w:r>
        <w:rPr/>
      </w:r>
    </w:p>
    <w:p>
      <w:pPr>
        <w:pStyle w:val="Normal"/>
        <w:spacing w:before="0" w:after="0"/>
        <w:jc w:val="center"/>
        <w:rPr/>
      </w:pPr>
      <w:r>
        <w:rPr/>
      </w:r>
    </w:p>
    <w:p>
      <w:pPr>
        <w:pStyle w:val="Normal"/>
        <w:spacing w:before="0" w:after="0"/>
        <w:jc w:val="center"/>
        <w:rPr/>
      </w:pPr>
      <w:r>
        <w:rPr/>
      </w:r>
    </w:p>
    <w:p>
      <w:pPr>
        <w:pStyle w:val="Normal"/>
        <w:spacing w:before="0" w:after="0"/>
        <w:jc w:val="right"/>
        <w:rPr/>
      </w:pPr>
      <w:r>
        <w:rPr/>
      </w:r>
    </w:p>
    <w:p>
      <w:pPr>
        <w:pStyle w:val="Normal"/>
        <w:spacing w:before="0" w:after="0"/>
        <w:jc w:val="right"/>
        <w:rPr>
          <w:shd w:fill="FFFFFF" w:val="clear"/>
        </w:rPr>
      </w:pPr>
      <w:r>
        <w:rPr>
          <w:rFonts w:ascii="Times New Roman" w:hAnsi="Times New Roman"/>
          <w:shd w:fill="FFFFFF" w:val="clear"/>
        </w:rPr>
        <w:t xml:space="preserve">Приложение №4 к Требованиям к оформлению </w:t>
      </w:r>
    </w:p>
    <w:p>
      <w:pPr>
        <w:pStyle w:val="Normal"/>
        <w:spacing w:before="0" w:after="0"/>
        <w:jc w:val="right"/>
        <w:rPr>
          <w:shd w:fill="FFFFFF" w:val="clear"/>
        </w:rPr>
      </w:pPr>
      <w:r>
        <w:rPr>
          <w:rFonts w:ascii="Times New Roman" w:hAnsi="Times New Roman"/>
          <w:shd w:fill="FFFFFF" w:val="clear"/>
        </w:rPr>
        <w:t>и составлению сметной документации на выполнение</w:t>
      </w:r>
    </w:p>
    <w:p>
      <w:pPr>
        <w:pStyle w:val="Normal"/>
        <w:spacing w:before="0" w:after="0"/>
        <w:jc w:val="right"/>
        <w:rPr>
          <w:shd w:fill="FFFFFF" w:val="clear"/>
        </w:rPr>
      </w:pPr>
      <w:r>
        <w:rPr>
          <w:rFonts w:ascii="Times New Roman" w:hAnsi="Times New Roman"/>
          <w:shd w:fill="FFFFFF" w:val="clear"/>
        </w:rPr>
        <w:t xml:space="preserve"> </w:t>
      </w:r>
      <w:r>
        <w:rPr>
          <w:rFonts w:ascii="Times New Roman" w:hAnsi="Times New Roman"/>
          <w:shd w:fill="FFFFFF" w:val="clear"/>
        </w:rPr>
        <w:t>работ по программе реконструкции и техническому перевооружению</w:t>
      </w:r>
    </w:p>
    <w:p>
      <w:pPr>
        <w:pStyle w:val="Normal"/>
        <w:spacing w:before="0" w:after="0"/>
        <w:jc w:val="right"/>
        <w:rPr>
          <w:shd w:fill="FFFFFF" w:val="clear"/>
        </w:rPr>
      </w:pPr>
      <w:r>
        <w:rPr>
          <w:shd w:fill="FFFFFF" w:val="clear"/>
        </w:rPr>
      </w:r>
    </w:p>
    <w:p>
      <w:pPr>
        <w:pStyle w:val="Normal"/>
        <w:spacing w:before="0" w:after="0"/>
        <w:jc w:val="right"/>
        <w:rPr>
          <w:shd w:fill="FFFFFF" w:val="clear"/>
        </w:rPr>
      </w:pPr>
      <w:r>
        <w:rPr>
          <w:shd w:fill="FFFFFF" w:val="clear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Calibri"/>
          <w:b/>
          <w:sz w:val="24"/>
          <w:lang w:eastAsia="en-US"/>
        </w:rPr>
      </w:pPr>
      <w:r>
        <w:rPr>
          <w:rFonts w:eastAsia="Calibri" w:ascii="Times New Roman" w:hAnsi="Times New Roman"/>
          <w:b/>
          <w:sz w:val="24"/>
          <w:lang w:eastAsia="en-US"/>
        </w:rPr>
        <w:t>Метод расчета индекса инфляции</w:t>
      </w:r>
    </w:p>
    <w:p>
      <w:pPr>
        <w:pStyle w:val="Normal"/>
        <w:spacing w:lineRule="auto" w:line="240" w:before="0" w:after="0"/>
        <w:rPr>
          <w:rFonts w:ascii="Times New Roman" w:hAnsi="Times New Roman" w:eastAsia="Calibri"/>
          <w:b/>
          <w:color w:val="000000"/>
          <w:sz w:val="20"/>
          <w:szCs w:val="20"/>
          <w:lang w:eastAsia="en-US"/>
        </w:rPr>
      </w:pPr>
      <w:r>
        <w:rPr>
          <w:rFonts w:eastAsia="Calibri" w:ascii="Times New Roman" w:hAnsi="Times New Roman"/>
          <w:b/>
          <w:color w:val="000000"/>
          <w:sz w:val="20"/>
          <w:szCs w:val="20"/>
          <w:lang w:eastAsia="en-US"/>
        </w:rPr>
      </w:r>
    </w:p>
    <w:p>
      <w:pPr>
        <w:pStyle w:val="Normal"/>
        <w:spacing w:lineRule="auto" w:line="240" w:before="0" w:after="0"/>
        <w:ind w:firstLine="709"/>
        <w:contextualSpacing/>
        <w:jc w:val="both"/>
        <w:rPr>
          <w:sz w:val="24"/>
          <w:szCs w:val="24"/>
        </w:rPr>
      </w:pPr>
      <w:bookmarkStart w:id="43" w:name="_Hlk136866684_Копия_1"/>
      <w:bookmarkEnd w:id="43"/>
      <w:r>
        <w:rPr>
          <w:rFonts w:eastAsia="Calibri" w:ascii="Times New Roman" w:hAnsi="Times New Roman"/>
          <w:color w:val="000000"/>
          <w:sz w:val="24"/>
          <w:szCs w:val="24"/>
          <w:lang w:eastAsia="en-US"/>
        </w:rPr>
        <w:t>Для пересчета сметной стоимости в прогнозный уровень цен применяются текущие индексы – дефляторы в соответствии с прогнозом Министерства экономического развития РФ (прогноз «базовый», определенные в установленном порядке для Заказчика (в соответствии с планируемым периодом выполнения работ).</w:t>
      </w:r>
    </w:p>
    <w:p>
      <w:pPr>
        <w:pStyle w:val="Normal"/>
        <w:spacing w:lineRule="auto" w:line="240" w:before="0" w:after="0"/>
        <w:ind w:firstLine="709"/>
        <w:contextualSpacing/>
        <w:jc w:val="both"/>
        <w:rPr>
          <w:sz w:val="24"/>
          <w:szCs w:val="24"/>
        </w:rPr>
      </w:pPr>
      <w:r>
        <w:rPr>
          <w:rFonts w:eastAsia="Calibri" w:ascii="Times New Roman" w:hAnsi="Times New Roman"/>
          <w:color w:val="000000"/>
          <w:sz w:val="24"/>
          <w:szCs w:val="24"/>
          <w:lang w:eastAsia="en-US"/>
        </w:rPr>
        <w:t>В случае, если планируемый период выполнения работ составляет до одного календарного года и сметная документация составлена в уровне цен того же года, индекс прогнозной инфляции на один месяц осуществляется извлечением квадратного корня двенадцатой степени из индекса прогнозной инфляции Минэкономразвития России ( ИПЦ базовый, по строке - Показатели инфляции / в среднем за год ) установленного в целом за год:</w:t>
      </w:r>
    </w:p>
    <w:p>
      <w:pPr>
        <w:pStyle w:val="Normal"/>
        <w:spacing w:lineRule="auto" w:line="240" w:before="0" w:after="0"/>
        <w:ind w:firstLine="709"/>
        <w:contextualSpacing/>
        <w:jc w:val="center"/>
        <w:rPr>
          <w:sz w:val="24"/>
          <w:szCs w:val="24"/>
        </w:rPr>
      </w:pPr>
      <w:r>
        <w:rPr>
          <w:rFonts w:eastAsia="Calibri" w:ascii="Times New Roman" w:hAnsi="Times New Roman"/>
          <w:color w:val="000000"/>
          <w:sz w:val="24"/>
          <w:szCs w:val="24"/>
          <w:lang w:eastAsia="en-US"/>
        </w:rPr>
        <w:t xml:space="preserve">      </w:t>
      </w:r>
      <w:r>
        <w:rPr/>
      </w:r>
      <m:oMath xmlns:m="http://schemas.openxmlformats.org/officeDocument/2006/math">
        <m:sSub>
          <m:e>
            <m:r>
              <w:rPr>
                <w:rFonts w:ascii="Cambria Math" w:hAnsi="Cambria Math"/>
              </w:rPr>
              <m:t xml:space="preserve">И</m:t>
            </m:r>
          </m:e>
          <m:sub>
            <m:r>
              <w:rPr>
                <w:rFonts w:ascii="Cambria Math" w:hAnsi="Cambria Math"/>
              </w:rPr>
              <m:t xml:space="preserve">инфл</m:t>
            </m:r>
            <m:r>
              <w:rPr>
                <w:rFonts w:ascii="Cambria Math" w:hAnsi="Cambria Math"/>
              </w:rPr>
              <m:t xml:space="preserve">.</m:t>
            </m:r>
            <m:r>
              <w:rPr>
                <w:rFonts w:ascii="Cambria Math" w:hAnsi="Cambria Math"/>
              </w:rPr>
              <m:t xml:space="preserve">мес</m:t>
            </m:r>
          </m:sub>
        </m:sSub>
        <m:r>
          <w:rPr>
            <w:rFonts w:ascii="Cambria Math" w:hAnsi="Cambria Math"/>
          </w:rPr>
          <m:t xml:space="preserve">=</m:t>
        </m:r>
        <m:rad>
          <m:deg>
            <m:r>
              <w:rPr>
                <w:rFonts w:ascii="Cambria Math" w:hAnsi="Cambria Math"/>
              </w:rPr>
              <m:t xml:space="preserve">12</m:t>
            </m:r>
          </m:deg>
          <m:e>
            <m:sSub>
              <m:e>
                <m:r>
                  <w:rPr>
                    <w:rFonts w:ascii="Cambria Math" w:hAnsi="Cambria Math"/>
                  </w:rPr>
                  <m:t xml:space="preserve">И</m:t>
                </m:r>
              </m:e>
              <m:sub>
                <m:r>
                  <w:rPr>
                    <w:rFonts w:ascii="Cambria Math" w:hAnsi="Cambria Math"/>
                  </w:rPr>
                  <m:t xml:space="preserve">инфлгод</m:t>
                </m:r>
              </m:sub>
            </m:sSub>
          </m:e>
        </m:rad>
      </m:oMath>
    </w:p>
    <w:p>
      <w:pPr>
        <w:pStyle w:val="Normal"/>
        <w:spacing w:lineRule="auto" w:line="240" w:before="0" w:after="0"/>
        <w:ind w:firstLine="709"/>
        <w:contextualSpacing/>
        <w:jc w:val="both"/>
        <w:rPr>
          <w:sz w:val="24"/>
          <w:szCs w:val="24"/>
        </w:rPr>
      </w:pPr>
      <w:r>
        <w:rPr>
          <w:rFonts w:eastAsia="Calibri" w:ascii="Times New Roman" w:hAnsi="Times New Roman"/>
          <w:color w:val="000000"/>
          <w:sz w:val="24"/>
          <w:szCs w:val="24"/>
          <w:lang w:eastAsia="en-US"/>
        </w:rPr>
        <w:t xml:space="preserve">где  </w:t>
      </w:r>
    </w:p>
    <w:p>
      <w:pPr>
        <w:pStyle w:val="Normal"/>
        <w:spacing w:lineRule="auto" w:line="240" w:before="0" w:after="0"/>
        <w:ind w:firstLine="709"/>
        <w:contextualSpacing/>
        <w:jc w:val="both"/>
        <w:rPr>
          <w:sz w:val="24"/>
          <w:szCs w:val="24"/>
        </w:rPr>
      </w:pPr>
      <w:r>
        <w:rPr>
          <w:rFonts w:eastAsia="Calibri" w:ascii="Times New Roman" w:hAnsi="Times New Roman"/>
          <w:color w:val="000000"/>
          <w:sz w:val="24"/>
          <w:szCs w:val="24"/>
          <w:lang w:eastAsia="en-US"/>
        </w:rPr>
        <w:t>И инфл мес – индекс прогнозной инфляции на один месяц, полученное значение округляется до 4 знаков после запятой;</w:t>
      </w:r>
    </w:p>
    <w:p>
      <w:pPr>
        <w:pStyle w:val="Normal"/>
        <w:spacing w:lineRule="auto" w:line="240" w:before="0" w:after="0"/>
        <w:ind w:firstLine="709"/>
        <w:contextualSpacing/>
        <w:jc w:val="both"/>
        <w:rPr>
          <w:sz w:val="24"/>
          <w:szCs w:val="24"/>
        </w:rPr>
      </w:pPr>
      <w:r>
        <w:rPr>
          <w:rFonts w:eastAsia="Calibri" w:ascii="Times New Roman" w:hAnsi="Times New Roman"/>
          <w:color w:val="000000"/>
          <w:sz w:val="24"/>
          <w:szCs w:val="24"/>
          <w:lang w:eastAsia="en-US"/>
        </w:rPr>
        <w:t>И инфл год – индекс-дефлятор Министерства экономического развития Российской Федерации (ИПЦ базовый, по строке - Показатели инфляции / в среднем за год).</w:t>
      </w:r>
    </w:p>
    <w:p>
      <w:pPr>
        <w:pStyle w:val="Normal"/>
        <w:spacing w:lineRule="auto" w:line="240" w:before="0" w:after="0"/>
        <w:ind w:firstLine="709"/>
        <w:contextualSpacing/>
        <w:jc w:val="both"/>
        <w:rPr>
          <w:sz w:val="24"/>
          <w:szCs w:val="24"/>
        </w:rPr>
      </w:pPr>
      <w:r>
        <w:rPr>
          <w:rFonts w:eastAsia="Calibri" w:ascii="Times New Roman" w:hAnsi="Times New Roman"/>
          <w:color w:val="000000"/>
          <w:sz w:val="24"/>
          <w:szCs w:val="24"/>
          <w:lang w:eastAsia="en-US"/>
        </w:rPr>
        <w:t>Для определения размера индекса прогнозной инфляции периодом в несколько месяцев, величина индекса прогнозной инфляции на один месяц возводится в степень размер которой соответствует количеству месяцев от даты определения стоимости работ до даты окончания работ, принимается среднее значение индекса-дефлятора, между индексом прогнозной инфляции на месяц начала производства работ и индексом на месяц окончания производства работ:</w:t>
      </w:r>
    </w:p>
    <w:p>
      <w:pPr>
        <w:pStyle w:val="Normal"/>
        <w:spacing w:lineRule="auto" w:line="240" w:before="0" w:after="0"/>
        <w:ind w:firstLine="709"/>
        <w:contextualSpacing/>
        <w:jc w:val="center"/>
        <w:rPr/>
      </w:pPr>
      <w:r>
        <w:rPr>
          <w:rFonts w:eastAsia="Calibri" w:ascii="Times New Roman" w:hAnsi="Times New Roman"/>
          <w:color w:val="000000"/>
          <w:sz w:val="28"/>
          <w:szCs w:val="28"/>
          <w:lang w:eastAsia="en-US"/>
        </w:rPr>
        <w:t xml:space="preserve">      </w:t>
      </w:r>
      <w:r>
        <w:rPr/>
      </w:r>
      <m:oMath xmlns:m="http://schemas.openxmlformats.org/officeDocument/2006/math">
        <m:sSub>
          <m:e>
            <m:r>
              <w:rPr>
                <w:rFonts w:ascii="Cambria Math" w:hAnsi="Cambria Math"/>
              </w:rPr>
              <m:t xml:space="preserve">И</m:t>
            </m:r>
          </m:e>
          <m:sub>
            <m:r>
              <w:rPr>
                <w:rFonts w:ascii="Cambria Math" w:hAnsi="Cambria Math"/>
              </w:rPr>
              <m:t xml:space="preserve">инфл</m:t>
            </m:r>
            <m:r>
              <w:rPr>
                <w:rFonts w:ascii="Cambria Math" w:hAnsi="Cambria Math"/>
              </w:rPr>
              <m:t xml:space="preserve">.</m:t>
            </m:r>
            <m:r>
              <w:rPr>
                <w:rFonts w:ascii="Cambria Math" w:hAnsi="Cambria Math"/>
              </w:rPr>
              <m:t xml:space="preserve">пер</m:t>
            </m:r>
            <m:r>
              <w:rPr>
                <w:rFonts w:ascii="Cambria Math" w:hAnsi="Cambria Math"/>
              </w:rPr>
              <m:t xml:space="preserve">.</m:t>
            </m:r>
          </m:sub>
        </m:sSub>
        <m:r>
          <w:rPr>
            <w:rFonts w:ascii="Cambria Math" w:hAnsi="Cambria Math"/>
          </w:rPr>
          <m:t xml:space="preserve">=</m:t>
        </m:r>
        <m:d>
          <m:dPr>
            <m:begChr m:val="("/>
            <m:endChr m:val=")"/>
          </m:dPr>
          <m:e>
            <m:f>
              <m:num>
                <m:sSub>
                  <m:e>
                    <m:r>
                      <w:rPr>
                        <w:rFonts w:ascii="Cambria Math" w:hAnsi="Cambria Math"/>
                      </w:rPr>
                      <m:t xml:space="preserve">И</m:t>
                    </m:r>
                  </m:e>
                  <m:sub>
                    <m:sSup>
                      <m:e>
                        <m:r>
                          <w:rPr>
                            <w:rFonts w:ascii="Cambria Math" w:hAnsi="Cambria Math"/>
                          </w:rPr>
                          <m:t xml:space="preserve">инфл</m:t>
                        </m:r>
                        <m:r>
                          <w:rPr>
                            <w:rFonts w:ascii="Cambria Math" w:hAnsi="Cambria Math"/>
                          </w:rPr>
                          <m:t xml:space="preserve">.</m:t>
                        </m:r>
                        <m:r>
                          <w:rPr>
                            <w:rFonts w:ascii="Cambria Math" w:hAnsi="Cambria Math"/>
                          </w:rPr>
                          <m:t xml:space="preserve">мес</m:t>
                        </m:r>
                        <m:r>
                          <w:rPr>
                            <w:rFonts w:ascii="Cambria Math" w:hAnsi="Cambria Math"/>
                          </w:rPr>
                          <m:t xml:space="preserve">.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 xml:space="preserve">n</m:t>
                        </m:r>
                      </m:sup>
                    </m:sSup>
                  </m:sub>
                </m:sSub>
                <m:r>
                  <w:rPr>
                    <w:rFonts w:ascii="Cambria Math" w:hAnsi="Cambria Math"/>
                  </w:rPr>
                  <m:t xml:space="preserve">−</m:t>
                </m:r>
                <m:r>
                  <w:rPr>
                    <w:rFonts w:ascii="Cambria Math" w:hAnsi="Cambria Math"/>
                  </w:rPr>
                  <m:t xml:space="preserve">1</m:t>
                </m:r>
              </m:num>
              <m:den>
                <m:r>
                  <w:rPr>
                    <w:rFonts w:ascii="Cambria Math" w:hAnsi="Cambria Math"/>
                  </w:rPr>
                  <m:t xml:space="preserve">2</m:t>
                </m:r>
              </m:den>
            </m:f>
          </m:e>
        </m:d>
        <m:r>
          <w:rPr>
            <w:rFonts w:ascii="Cambria Math" w:hAnsi="Cambria Math"/>
          </w:rPr>
          <m:t xml:space="preserve">+</m:t>
        </m:r>
        <m:r>
          <w:rPr>
            <w:rFonts w:ascii="Cambria Math" w:hAnsi="Cambria Math"/>
          </w:rPr>
          <m:t xml:space="preserve">1</m:t>
        </m:r>
      </m:oMath>
      <w:r>
        <w:rPr>
          <w:rFonts w:eastAsia="Calibri" w:ascii="Times New Roman" w:hAnsi="Times New Roman"/>
          <w:color w:val="000000"/>
          <w:sz w:val="28"/>
          <w:szCs w:val="28"/>
          <w:lang w:eastAsia="en-US"/>
        </w:rPr>
        <w:t xml:space="preserve">                         </w:t>
      </w:r>
      <w:r>
        <w:rPr>
          <w:rFonts w:eastAsia="Calibri" w:ascii="Times New Roman" w:hAnsi="Times New Roman"/>
          <w:color w:val="000000"/>
          <w:sz w:val="28"/>
          <w:szCs w:val="28"/>
          <w:lang w:eastAsia="en-US"/>
        </w:rPr>
        <w:t>(1)</w:t>
      </w:r>
    </w:p>
    <w:p>
      <w:pPr>
        <w:pStyle w:val="Normal"/>
        <w:spacing w:lineRule="auto" w:line="240" w:before="0" w:after="0"/>
        <w:ind w:firstLine="709"/>
        <w:contextualSpacing/>
        <w:jc w:val="both"/>
        <w:rPr>
          <w:rFonts w:ascii="Times New Roman" w:hAnsi="Times New Roman" w:eastAsia="Calibri"/>
          <w:color w:val="000000"/>
          <w:sz w:val="28"/>
          <w:szCs w:val="28"/>
          <w:lang w:eastAsia="en-US"/>
        </w:rPr>
      </w:pPr>
      <w:r>
        <w:rPr>
          <w:rFonts w:eastAsia="Calibri" w:ascii="Times New Roman" w:hAnsi="Times New Roman"/>
          <w:color w:val="000000"/>
          <w:sz w:val="28"/>
          <w:szCs w:val="28"/>
          <w:lang w:eastAsia="en-US"/>
        </w:rPr>
      </w:r>
    </w:p>
    <w:p>
      <w:pPr>
        <w:pStyle w:val="Normal"/>
        <w:spacing w:lineRule="auto" w:line="240" w:before="0" w:after="0"/>
        <w:ind w:firstLine="709"/>
        <w:contextualSpacing/>
        <w:jc w:val="both"/>
        <w:rPr>
          <w:sz w:val="24"/>
          <w:szCs w:val="24"/>
        </w:rPr>
      </w:pPr>
      <w:r>
        <w:rPr>
          <w:rFonts w:eastAsia="Calibri" w:ascii="Times New Roman" w:hAnsi="Times New Roman"/>
          <w:color w:val="000000"/>
          <w:sz w:val="24"/>
          <w:szCs w:val="24"/>
          <w:lang w:eastAsia="en-US"/>
        </w:rPr>
        <w:t>где</w:t>
      </w:r>
    </w:p>
    <w:p>
      <w:pPr>
        <w:pStyle w:val="Normal"/>
        <w:spacing w:lineRule="auto" w:line="240" w:before="0" w:after="0"/>
        <w:ind w:firstLine="709"/>
        <w:contextualSpacing/>
        <w:jc w:val="both"/>
        <w:rPr>
          <w:sz w:val="24"/>
          <w:szCs w:val="24"/>
        </w:rPr>
      </w:pPr>
      <w:r>
        <w:rPr>
          <w:rFonts w:eastAsia="Calibri" w:ascii="Times New Roman" w:hAnsi="Times New Roman"/>
          <w:color w:val="000000"/>
          <w:sz w:val="24"/>
          <w:szCs w:val="24"/>
          <w:lang w:eastAsia="en-US"/>
        </w:rPr>
        <w:t>И инф пер – индекс прогнозной инфляции для периода выполнения работ, полученное значение округляется до 4 знаков после запятой.</w:t>
      </w:r>
    </w:p>
    <w:p>
      <w:pPr>
        <w:pStyle w:val="Normal"/>
        <w:spacing w:lineRule="auto" w:line="240" w:before="0" w:after="0"/>
        <w:ind w:firstLine="709"/>
        <w:contextualSpacing/>
        <w:jc w:val="both"/>
        <w:rPr>
          <w:rFonts w:ascii="Times New Roman" w:hAnsi="Times New Roman" w:eastAsia="Calibri"/>
          <w:color w:val="000000"/>
          <w:sz w:val="24"/>
          <w:szCs w:val="24"/>
          <w:lang w:eastAsia="en-US"/>
        </w:rPr>
      </w:pPr>
      <w:r>
        <w:rPr>
          <w:rFonts w:eastAsia="Calibri" w:ascii="Times New Roman" w:hAnsi="Times New Roman"/>
          <w:color w:val="000000"/>
          <w:sz w:val="24"/>
          <w:szCs w:val="24"/>
          <w:lang w:eastAsia="en-US"/>
        </w:rPr>
      </w:r>
    </w:p>
    <w:p>
      <w:pPr>
        <w:pStyle w:val="Normal"/>
        <w:spacing w:lineRule="auto" w:line="240" w:before="0" w:after="0"/>
        <w:ind w:firstLine="709"/>
        <w:contextualSpacing/>
        <w:jc w:val="both"/>
        <w:rPr>
          <w:sz w:val="24"/>
          <w:szCs w:val="24"/>
        </w:rPr>
      </w:pPr>
      <w:r>
        <w:rPr>
          <w:rFonts w:eastAsia="Calibri" w:ascii="Times New Roman" w:hAnsi="Times New Roman"/>
          <w:color w:val="000000"/>
          <w:sz w:val="24"/>
          <w:szCs w:val="24"/>
          <w:lang w:eastAsia="en-US"/>
        </w:rPr>
        <w:t xml:space="preserve">В случае если срок выполнения работ превышает календарный год, то индекс прогнозной инфляции для второго и последующих годов, определяется с учетом установленных договором сроков строительства по формуле: </w:t>
      </w:r>
    </w:p>
    <w:p>
      <w:pPr>
        <w:pStyle w:val="Normal"/>
        <w:spacing w:lineRule="auto" w:line="240" w:before="0" w:after="0"/>
        <w:ind w:firstLine="709"/>
        <w:contextualSpacing/>
        <w:jc w:val="center"/>
        <w:rPr>
          <w:sz w:val="24"/>
          <w:szCs w:val="24"/>
        </w:rPr>
      </w:pPr>
      <w:r>
        <w:rPr>
          <w:rFonts w:eastAsia="Calibri" w:ascii="Times New Roman" w:hAnsi="Times New Roman"/>
          <w:color w:val="000000"/>
          <w:sz w:val="24"/>
          <w:szCs w:val="24"/>
          <w:lang w:eastAsia="en-US"/>
        </w:rPr>
        <w:t xml:space="preserve">       </w:t>
      </w:r>
      <w:r>
        <w:rPr>
          <w:rFonts w:eastAsia="Calibri" w:ascii="Times New Roman" w:hAnsi="Times New Roman"/>
          <w:color w:val="000000"/>
          <w:sz w:val="24"/>
          <w:szCs w:val="24"/>
          <w:lang w:eastAsia="en-US"/>
        </w:rPr>
        <w:t>Цд=С * Иинфл            (2)</w:t>
      </w:r>
    </w:p>
    <w:p>
      <w:pPr>
        <w:pStyle w:val="Normal"/>
        <w:spacing w:lineRule="auto" w:line="240" w:before="0" w:after="0"/>
        <w:ind w:firstLine="709"/>
        <w:contextualSpacing/>
        <w:jc w:val="both"/>
        <w:rPr>
          <w:sz w:val="24"/>
          <w:szCs w:val="24"/>
        </w:rPr>
      </w:pPr>
      <w:r>
        <w:rPr>
          <w:rFonts w:eastAsia="Calibri" w:ascii="Times New Roman" w:hAnsi="Times New Roman"/>
          <w:color w:val="000000"/>
          <w:sz w:val="24"/>
          <w:szCs w:val="24"/>
          <w:lang w:eastAsia="en-US"/>
        </w:rPr>
        <w:t>где</w:t>
      </w:r>
    </w:p>
    <w:p>
      <w:pPr>
        <w:pStyle w:val="Normal"/>
        <w:spacing w:lineRule="auto" w:line="240" w:before="0" w:after="0"/>
        <w:ind w:firstLine="709"/>
        <w:contextualSpacing/>
        <w:jc w:val="both"/>
        <w:rPr>
          <w:sz w:val="24"/>
          <w:szCs w:val="24"/>
        </w:rPr>
      </w:pPr>
      <w:r>
        <w:rPr>
          <w:rFonts w:eastAsia="Calibri" w:ascii="Times New Roman" w:hAnsi="Times New Roman"/>
          <w:color w:val="000000"/>
          <w:sz w:val="24"/>
          <w:szCs w:val="24"/>
          <w:lang w:eastAsia="en-US"/>
        </w:rPr>
        <w:t>Цд – стоимость договора (этапа);</w:t>
      </w:r>
    </w:p>
    <w:p>
      <w:pPr>
        <w:pStyle w:val="Normal"/>
        <w:spacing w:lineRule="auto" w:line="240" w:before="0" w:after="0"/>
        <w:ind w:firstLine="709"/>
        <w:contextualSpacing/>
        <w:jc w:val="both"/>
        <w:rPr>
          <w:sz w:val="24"/>
          <w:szCs w:val="24"/>
        </w:rPr>
      </w:pPr>
      <w:r>
        <w:rPr>
          <w:rFonts w:eastAsia="Calibri" w:ascii="Times New Roman" w:hAnsi="Times New Roman"/>
          <w:color w:val="000000"/>
          <w:sz w:val="24"/>
          <w:szCs w:val="24"/>
          <w:lang w:eastAsia="en-US"/>
        </w:rPr>
        <w:t xml:space="preserve">С - сметная стоимость подрядных работ, подлежащих выполнению подрядчиком; </w:t>
      </w:r>
    </w:p>
    <w:p>
      <w:pPr>
        <w:pStyle w:val="Normal"/>
        <w:spacing w:lineRule="auto" w:line="240" w:before="0" w:after="0"/>
        <w:ind w:firstLine="709"/>
        <w:contextualSpacing/>
        <w:jc w:val="both"/>
        <w:rPr>
          <w:sz w:val="24"/>
          <w:szCs w:val="24"/>
        </w:rPr>
      </w:pPr>
      <w:r>
        <w:rPr>
          <w:rFonts w:eastAsia="Calibri" w:ascii="Times New Roman" w:hAnsi="Times New Roman"/>
          <w:color w:val="000000"/>
          <w:sz w:val="24"/>
          <w:szCs w:val="24"/>
          <w:lang w:eastAsia="en-US"/>
        </w:rPr>
        <w:t xml:space="preserve">Иинф – индекс инфляции, рассчитываемый по формуле: </w:t>
      </w:r>
    </w:p>
    <w:p>
      <w:pPr>
        <w:pStyle w:val="Normal"/>
        <w:spacing w:lineRule="auto" w:line="240" w:before="0" w:after="0"/>
        <w:ind w:firstLine="709"/>
        <w:contextualSpacing/>
        <w:jc w:val="center"/>
        <w:rPr/>
      </w:pPr>
      <w:r>
        <w:rPr>
          <w:rFonts w:eastAsia="Calibri" w:ascii="Times New Roman" w:hAnsi="Times New Roman"/>
          <w:color w:val="000000"/>
          <w:sz w:val="28"/>
          <w:szCs w:val="28"/>
          <w:lang w:eastAsia="en-US"/>
        </w:rPr>
        <w:t xml:space="preserve">    </w:t>
      </w:r>
      <w:r>
        <w:rPr>
          <w:rFonts w:eastAsia="Calibri" w:ascii="Times New Roman" w:hAnsi="Times New Roman"/>
          <w:i/>
          <w:iCs/>
          <w:color w:val="000000"/>
          <w:sz w:val="28"/>
          <w:szCs w:val="28"/>
          <w:lang w:eastAsia="en-US"/>
        </w:rPr>
        <w:t xml:space="preserve">  </w:t>
      </w:r>
      <w:r>
        <w:rPr>
          <w:rFonts w:eastAsia="Calibri" w:ascii="Times New Roman" w:hAnsi="Times New Roman"/>
          <w:i/>
          <w:iCs/>
          <w:color w:val="000000"/>
          <w:sz w:val="28"/>
          <w:szCs w:val="28"/>
          <w:lang w:eastAsia="en-US"/>
        </w:rPr>
        <w:t>И инф = Д1*К1+Д2*К2+...+Дi*Кi</w:t>
      </w:r>
    </w:p>
    <w:p>
      <w:pPr>
        <w:pStyle w:val="Normal"/>
        <w:spacing w:lineRule="auto" w:line="240" w:before="0" w:after="0"/>
        <w:ind w:firstLine="709"/>
        <w:contextualSpacing/>
        <w:jc w:val="both"/>
        <w:rPr>
          <w:rFonts w:ascii="Times New Roman" w:hAnsi="Times New Roman" w:eastAsia="Calibri"/>
          <w:color w:val="000000"/>
          <w:sz w:val="28"/>
          <w:szCs w:val="28"/>
          <w:lang w:eastAsia="en-US"/>
        </w:rPr>
      </w:pPr>
      <w:r>
        <w:rPr>
          <w:rFonts w:eastAsia="Calibri" w:ascii="Times New Roman" w:hAnsi="Times New Roman"/>
          <w:color w:val="000000"/>
          <w:sz w:val="28"/>
          <w:szCs w:val="28"/>
          <w:lang w:eastAsia="en-US"/>
        </w:rPr>
      </w:r>
    </w:p>
    <w:p>
      <w:pPr>
        <w:pStyle w:val="Normal"/>
        <w:spacing w:lineRule="auto" w:line="240" w:before="0" w:after="0"/>
        <w:ind w:firstLine="709"/>
        <w:contextualSpacing/>
        <w:jc w:val="both"/>
        <w:rPr>
          <w:sz w:val="24"/>
          <w:szCs w:val="24"/>
        </w:rPr>
      </w:pPr>
      <w:r>
        <w:rPr>
          <w:rFonts w:eastAsia="Calibri" w:ascii="Times New Roman" w:hAnsi="Times New Roman"/>
          <w:color w:val="000000"/>
          <w:sz w:val="24"/>
          <w:szCs w:val="24"/>
          <w:lang w:eastAsia="en-US"/>
        </w:rPr>
        <w:t>где</w:t>
      </w:r>
    </w:p>
    <w:p>
      <w:pPr>
        <w:pStyle w:val="Normal"/>
        <w:spacing w:lineRule="auto" w:line="240" w:before="0" w:after="0"/>
        <w:ind w:firstLine="709"/>
        <w:contextualSpacing/>
        <w:jc w:val="both"/>
        <w:rPr>
          <w:sz w:val="24"/>
          <w:szCs w:val="24"/>
        </w:rPr>
      </w:pPr>
      <w:r>
        <w:rPr>
          <w:rFonts w:eastAsia="Calibri" w:ascii="Times New Roman" w:hAnsi="Times New Roman"/>
          <w:color w:val="000000"/>
          <w:sz w:val="24"/>
          <w:szCs w:val="24"/>
          <w:lang w:eastAsia="en-US"/>
        </w:rPr>
        <w:t>Д1, Д2, Дi - доля сметной стоимости работ соответственно в 1-й, 2-й, 3-й, i-ый годы строительства;</w:t>
      </w:r>
    </w:p>
    <w:p>
      <w:pPr>
        <w:pStyle w:val="Normal"/>
        <w:spacing w:lineRule="auto" w:line="240" w:before="0" w:after="0"/>
        <w:ind w:firstLine="709"/>
        <w:contextualSpacing/>
        <w:jc w:val="both"/>
        <w:rPr>
          <w:sz w:val="24"/>
          <w:szCs w:val="24"/>
        </w:rPr>
      </w:pPr>
      <w:r>
        <w:rPr>
          <w:rFonts w:eastAsia="Calibri" w:ascii="Times New Roman" w:hAnsi="Times New Roman"/>
          <w:color w:val="000000"/>
          <w:sz w:val="24"/>
          <w:szCs w:val="24"/>
          <w:lang w:eastAsia="en-US"/>
        </w:rPr>
        <w:t>i - год завершения строительства объекта;</w:t>
      </w:r>
    </w:p>
    <w:p>
      <w:pPr>
        <w:pStyle w:val="Normal"/>
        <w:spacing w:lineRule="auto" w:line="240" w:before="0" w:after="0"/>
        <w:ind w:firstLine="709"/>
        <w:contextualSpacing/>
        <w:jc w:val="both"/>
        <w:rPr>
          <w:sz w:val="24"/>
          <w:szCs w:val="24"/>
        </w:rPr>
      </w:pPr>
      <w:r>
        <w:rPr>
          <w:rFonts w:eastAsia="Calibri" w:ascii="Times New Roman" w:hAnsi="Times New Roman"/>
          <w:color w:val="000000"/>
          <w:sz w:val="24"/>
          <w:szCs w:val="24"/>
          <w:lang w:eastAsia="en-US"/>
        </w:rPr>
        <w:t>К1 - индекс прогнозной инфляции за первый год строительства объекта, определяемый как среднее арифметическое между индексом прогнозной инфляции на дату начала строительства объекта и индексом прогнозной инфляции на декабрь первого года строительства объекта;</w:t>
      </w:r>
    </w:p>
    <w:p>
      <w:pPr>
        <w:pStyle w:val="Normal"/>
        <w:spacing w:lineRule="auto" w:line="240" w:before="0" w:after="0"/>
        <w:ind w:firstLine="709"/>
        <w:contextualSpacing/>
        <w:jc w:val="both"/>
        <w:rPr>
          <w:sz w:val="24"/>
          <w:szCs w:val="24"/>
        </w:rPr>
      </w:pPr>
      <w:r>
        <w:rPr>
          <w:rFonts w:eastAsia="Calibri" w:ascii="Times New Roman" w:hAnsi="Times New Roman"/>
          <w:color w:val="000000"/>
          <w:sz w:val="24"/>
          <w:szCs w:val="24"/>
          <w:lang w:eastAsia="en-US"/>
        </w:rPr>
        <w:t>К2 -индекс прогнозной инфляции, учитывающий инфляцию за первый и второй годы строительства объекта. Рассчитывается как произведение индекса прогнозной инфляции, устанавливаемого нарастающим итогом на декабрь первого года строительства объекта, и индекса прогнозной инфляции на второй год строительства объекта, определенного как среднее арифметическое между индексом прогнозной инфляции на январь второго года строительства объекта и индекса прогнозной инфляции на декабрь второго года строительства объекта;</w:t>
      </w:r>
    </w:p>
    <w:p>
      <w:pPr>
        <w:pStyle w:val="Normal"/>
        <w:spacing w:lineRule="auto" w:line="240" w:before="0" w:after="0"/>
        <w:ind w:firstLine="709"/>
        <w:contextualSpacing/>
        <w:jc w:val="both"/>
        <w:rPr>
          <w:sz w:val="24"/>
          <w:szCs w:val="24"/>
        </w:rPr>
      </w:pPr>
      <w:r>
        <w:rPr>
          <w:rFonts w:eastAsia="Calibri" w:ascii="Times New Roman" w:hAnsi="Times New Roman"/>
          <w:color w:val="000000"/>
          <w:sz w:val="24"/>
          <w:szCs w:val="24"/>
          <w:lang w:eastAsia="en-US"/>
        </w:rPr>
        <w:t>Кi - индекс прогнозной инфляции, учитывающий инфляцию за весь период строительства объекта. Указанный индекс рассчитывается как произведение индекса прогнозной инфляции, устанавливаемого нарастающим итогом на декабрь предшествующего года строительства объекта, и индекса прогнозной инфляции на последний год строительства объекта, определенного как среднее арифметическое между индексом прогнозной инфляции на январь последнего года строительства объекта и индексом прогнозной инфляции на дату окончания строительства объекта в последнем году.</w:t>
      </w:r>
    </w:p>
    <w:p>
      <w:pPr>
        <w:pStyle w:val="Normal"/>
        <w:spacing w:lineRule="auto" w:line="240" w:before="0" w:after="0"/>
        <w:ind w:firstLine="709"/>
        <w:contextualSpacing/>
        <w:jc w:val="both"/>
        <w:rPr>
          <w:sz w:val="24"/>
          <w:szCs w:val="24"/>
        </w:rPr>
      </w:pPr>
      <w:r>
        <w:rPr>
          <w:rFonts w:eastAsia="Calibri" w:ascii="Times New Roman" w:hAnsi="Times New Roman"/>
          <w:color w:val="000000"/>
          <w:sz w:val="24"/>
          <w:szCs w:val="24"/>
          <w:lang w:eastAsia="en-US"/>
        </w:rPr>
        <w:t>При этом:</w:t>
      </w:r>
    </w:p>
    <w:p>
      <w:pPr>
        <w:pStyle w:val="Normal"/>
        <w:spacing w:lineRule="auto" w:line="240" w:before="0" w:after="0"/>
        <w:ind w:firstLine="709"/>
        <w:contextualSpacing/>
        <w:jc w:val="both"/>
        <w:rPr>
          <w:sz w:val="24"/>
          <w:szCs w:val="24"/>
        </w:rPr>
      </w:pPr>
      <w:r>
        <w:rPr>
          <w:rFonts w:eastAsia="Calibri" w:ascii="Times New Roman" w:hAnsi="Times New Roman"/>
          <w:color w:val="000000"/>
          <w:sz w:val="24"/>
          <w:szCs w:val="24"/>
          <w:lang w:eastAsia="en-US"/>
        </w:rPr>
        <w:t>1) если срок выполнения работ указан в целом по договору (дата начала работ – дата окончание работ), применяется единый дефлятор, в соответствии с формулой (2)</w:t>
      </w:r>
    </w:p>
    <w:p>
      <w:pPr>
        <w:pStyle w:val="Normal"/>
        <w:spacing w:lineRule="auto" w:line="240" w:before="0" w:after="0"/>
        <w:ind w:firstLine="709"/>
        <w:contextualSpacing/>
        <w:jc w:val="both"/>
        <w:rPr>
          <w:sz w:val="24"/>
          <w:szCs w:val="24"/>
        </w:rPr>
      </w:pPr>
      <w:r>
        <w:rPr>
          <w:rFonts w:eastAsia="Calibri" w:ascii="Times New Roman" w:hAnsi="Times New Roman"/>
          <w:color w:val="000000"/>
          <w:sz w:val="24"/>
          <w:szCs w:val="24"/>
          <w:lang w:eastAsia="en-US"/>
        </w:rPr>
        <w:t>2) если договором предусмотрен график выполнения работ с разбивкой на этапы (дата начала работ по этапу – дата окончания работ по этапу), дефлятор применяется в соответствии с таким графиком, и рассчитывается на каждый этап, в соответствии с формулой (2).</w:t>
      </w:r>
    </w:p>
    <w:p>
      <w:pPr>
        <w:pStyle w:val="Normal"/>
        <w:spacing w:lineRule="auto" w:line="240" w:before="0" w:after="0"/>
        <w:ind w:firstLine="709"/>
        <w:contextualSpacing/>
        <w:jc w:val="both"/>
        <w:rPr>
          <w:sz w:val="24"/>
          <w:szCs w:val="24"/>
        </w:rPr>
      </w:pPr>
      <w:r>
        <w:rPr>
          <w:rFonts w:eastAsia="Calibri" w:ascii="Times New Roman" w:hAnsi="Times New Roman"/>
          <w:color w:val="000000"/>
          <w:sz w:val="24"/>
          <w:szCs w:val="24"/>
          <w:lang w:eastAsia="en-US"/>
        </w:rPr>
        <w:t xml:space="preserve">     </w:t>
      </w:r>
      <w:r>
        <w:rPr>
          <w:rFonts w:eastAsia="Calibri" w:ascii="Times New Roman" w:hAnsi="Times New Roman"/>
          <w:color w:val="000000"/>
          <w:sz w:val="24"/>
          <w:szCs w:val="24"/>
          <w:lang w:eastAsia="en-US"/>
        </w:rPr>
        <w:t xml:space="preserve">Если для определения ПЦ используется сметная документация, разработанная на основании СНБ применяемой на дату формирования ПЦ, то пересчет сметной стоимости работ в уровень цен на дату определения ПЦ осуществляется с использованием индексов изменения сметной стоимости, размещенных Минстроем России в ФРСН, действующих на дату определения ПЦ. </w:t>
      </w:r>
    </w:p>
    <w:p>
      <w:pPr>
        <w:pStyle w:val="Normal"/>
        <w:spacing w:lineRule="auto" w:line="240" w:before="0" w:after="0"/>
        <w:ind w:firstLine="709"/>
        <w:contextualSpacing/>
        <w:jc w:val="both"/>
        <w:rPr>
          <w:sz w:val="24"/>
          <w:szCs w:val="24"/>
        </w:rPr>
      </w:pPr>
      <w:r>
        <w:rPr>
          <w:rFonts w:eastAsia="Calibri" w:ascii="Times New Roman" w:hAnsi="Times New Roman"/>
          <w:color w:val="000000"/>
          <w:sz w:val="24"/>
          <w:szCs w:val="24"/>
          <w:lang w:eastAsia="en-US"/>
        </w:rPr>
        <w:t xml:space="preserve">     </w:t>
      </w:r>
      <w:r>
        <w:rPr>
          <w:rFonts w:eastAsia="Calibri" w:ascii="Times New Roman" w:hAnsi="Times New Roman"/>
          <w:color w:val="000000"/>
          <w:sz w:val="24"/>
          <w:szCs w:val="24"/>
          <w:lang w:eastAsia="en-US"/>
        </w:rPr>
        <w:t xml:space="preserve">В случае если сметная документация разработана в СНБ не применяемой на дату определения ПЦ, то пересчет сметной стоимости работ в уровень цен на дату определения ПЦ осуществляется с использованием индекса фактической инфляции (опубликованный на сайте https://www.fedstat.ru/, индексы цен на продукцию (затраты, услуги) инвестиционного назначения с 2017г., по Российской Федерации в целом, с учетом вида экономической деятельности). </w:t>
      </w:r>
    </w:p>
    <w:p>
      <w:pPr>
        <w:pStyle w:val="Normal"/>
        <w:spacing w:lineRule="auto" w:line="240" w:before="0" w:after="0"/>
        <w:ind w:firstLine="709"/>
        <w:contextualSpacing/>
        <w:jc w:val="both"/>
        <w:rPr>
          <w:rFonts w:ascii="Times New Roman" w:hAnsi="Times New Roman" w:eastAsia="Calibri"/>
          <w:color w:val="000000"/>
          <w:sz w:val="28"/>
          <w:szCs w:val="28"/>
          <w:lang w:eastAsia="en-US"/>
        </w:rPr>
      </w:pPr>
      <w:r>
        <w:rPr>
          <w:rFonts w:eastAsia="Calibri" w:ascii="Times New Roman" w:hAnsi="Times New Roman"/>
          <w:color w:val="000000"/>
          <w:sz w:val="28"/>
          <w:szCs w:val="28"/>
          <w:lang w:eastAsia="en-US"/>
        </w:rPr>
      </w:r>
    </w:p>
    <w:p>
      <w:pPr>
        <w:pStyle w:val="Dt-p"/>
        <w:shd w:val="clear" w:color="auto" w:fill="FFFFFF"/>
        <w:spacing w:before="0" w:after="0"/>
        <w:ind w:left="720" w:firstLine="567"/>
        <w:contextualSpacing/>
        <w:jc w:val="center"/>
        <w:textAlignment w:val="baseline"/>
        <w:rPr>
          <w:b/>
          <w:color w:val="000000"/>
        </w:rPr>
      </w:pPr>
      <w:r>
        <w:rPr>
          <w:b/>
          <w:color w:val="000000"/>
        </w:rPr>
        <w:t>Пример расчета единого индекса-дефлятора к  договору</w:t>
      </w:r>
    </w:p>
    <w:p>
      <w:pPr>
        <w:pStyle w:val="Dt-p"/>
        <w:shd w:val="clear" w:color="auto" w:fill="FFFFFF"/>
        <w:spacing w:before="0" w:after="0"/>
        <w:ind w:left="720" w:firstLine="567"/>
        <w:contextualSpacing/>
        <w:jc w:val="center"/>
        <w:textAlignment w:val="baseline"/>
        <w:rPr>
          <w:b/>
          <w:color w:val="000000"/>
        </w:rPr>
      </w:pPr>
      <w:r>
        <w:rPr>
          <w:b/>
          <w:color w:val="000000"/>
        </w:rPr>
      </w:r>
    </w:p>
    <w:p>
      <w:pPr>
        <w:pStyle w:val="Normal"/>
        <w:tabs>
          <w:tab w:val="clear" w:pos="708"/>
          <w:tab w:val="left" w:pos="1134" w:leader="none"/>
        </w:tabs>
        <w:ind w:left="720"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В соответствии с условиями Договора начало строительства – сентябрь 2024г, окончание декабрь 2025 г. Продолжительность реконструкции / строительства составляет– 16 месяцев.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iCs/>
          <w:sz w:val="24"/>
          <w:szCs w:val="24"/>
        </w:rPr>
        <w:t>Сметная документация составлена с применением СНБ – ГЭСН-2020, ФЕР – 2020 (с изм 1-9).</w:t>
      </w:r>
    </w:p>
    <w:p>
      <w:pPr>
        <w:pStyle w:val="Normal"/>
        <w:tabs>
          <w:tab w:val="clear" w:pos="708"/>
          <w:tab w:val="left" w:pos="1134" w:leader="none"/>
        </w:tabs>
        <w:ind w:left="720"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Доля сметной стоимости в 2024 году – 0,25 (4 мес. из 16) </w:t>
      </w:r>
    </w:p>
    <w:p>
      <w:pPr>
        <w:pStyle w:val="Normal"/>
        <w:tabs>
          <w:tab w:val="clear" w:pos="708"/>
          <w:tab w:val="left" w:pos="1134" w:leader="none"/>
        </w:tabs>
        <w:ind w:left="720"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Доля сметной стоимости в 2025 году - 0,75 (12 мес. из 16).</w:t>
      </w:r>
    </w:p>
    <w:p>
      <w:pPr>
        <w:pStyle w:val="Normal"/>
        <w:tabs>
          <w:tab w:val="clear" w:pos="708"/>
          <w:tab w:val="left" w:pos="1134" w:leader="none"/>
        </w:tabs>
        <w:ind w:left="720"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Годовой индекс инфляции по данным Министерства экономического развития (письмо от __.__.20__г №_____ «__________________»): </w:t>
      </w:r>
    </w:p>
    <w:p>
      <w:pPr>
        <w:pStyle w:val="Normal"/>
        <w:tabs>
          <w:tab w:val="clear" w:pos="708"/>
          <w:tab w:val="left" w:pos="1134" w:leader="none"/>
        </w:tabs>
        <w:ind w:left="720"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на 2024г. - 114,6%, </w:t>
      </w:r>
    </w:p>
    <w:p>
      <w:pPr>
        <w:pStyle w:val="Normal"/>
        <w:tabs>
          <w:tab w:val="clear" w:pos="708"/>
          <w:tab w:val="left" w:pos="1134" w:leader="none"/>
        </w:tabs>
        <w:ind w:left="720"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на 2025г. – 107,0%:</w:t>
      </w:r>
    </w:p>
    <w:p>
      <w:pPr>
        <w:pStyle w:val="Normal"/>
        <w:tabs>
          <w:tab w:val="clear" w:pos="708"/>
          <w:tab w:val="left" w:pos="1134" w:leader="none"/>
        </w:tabs>
        <w:ind w:left="720"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Ежемесячный индекс-инфляции:</w:t>
      </w:r>
    </w:p>
    <w:p>
      <w:pPr>
        <w:pStyle w:val="ConsPlusNormal1"/>
        <w:tabs>
          <w:tab w:val="clear" w:pos="708"/>
          <w:tab w:val="left" w:pos="1134" w:leader="none"/>
        </w:tabs>
        <w:jc w:val="center"/>
        <w:rPr>
          <w:rFonts w:ascii="Times New Roman" w:hAnsi="Times New Roman"/>
          <w:sz w:val="24"/>
          <w:szCs w:val="24"/>
        </w:rPr>
      </w:pPr>
      <w:r>
        <w:rPr/>
        <mc:AlternateContent>
          <mc:Choice Requires="wps">
            <w:drawing>
              <wp:inline distT="0" distB="0" distL="0" distR="0" wp14:anchorId="79941B90">
                <wp:extent cx="2303780" cy="228600"/>
                <wp:effectExtent l="0" t="0" r="0" b="0"/>
                <wp:docPr id="3" name="TextBox 3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03640" cy="22860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NormalWeb"/>
                              <w:spacing w:before="0" w:after="0"/>
                              <w:rPr/>
                            </w:pPr>
                            <w:r>
                              <w:rPr/>
                            </w:r>
                            <m:oMath xmlns:m="http://schemas.openxmlformats.org/officeDocument/2006/math">
                              <m:r>
                                <w:rPr>
                                  <w:rFonts w:ascii="Cambria Math" w:hAnsi="Cambria Math"/>
                                </w:rPr>
                                <m:t xml:space="preserve">Иинфмес</m:t>
                              </m:r>
                              <m:r>
                                <w:rPr>
                                  <w:rFonts w:ascii="Cambria Math" w:hAnsi="Cambria Math"/>
                                </w:rPr>
                                <m:t xml:space="preserve">2024</m:t>
                              </m:r>
                              <m:r>
                                <w:rPr>
                                  <w:rFonts w:ascii="Cambria Math" w:hAnsi="Cambria Math"/>
                                </w:rPr>
                                <m:t xml:space="preserve">=</m:t>
                              </m:r>
                              <m:rad>
                                <m:deg>
                                  <m:r>
                                    <w:rPr>
                                      <w:rFonts w:ascii="Cambria Math" w:hAnsi="Cambria Math"/>
                                    </w:rPr>
                                    <m:t xml:space="preserve">12</m:t>
                                  </m:r>
                                </m:deg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 xml:space="preserve">1.146</m:t>
                                  </m:r>
                                </m:e>
                              </m:rad>
                              <m:r>
                                <w:rPr>
                                  <w:rFonts w:ascii="Cambria Math" w:hAnsi="Cambria Math"/>
                                </w:rPr>
                                <m:t xml:space="preserve">=</m:t>
                              </m:r>
                              <m:r>
                                <w:rPr>
                                  <w:rFonts w:ascii="Cambria Math" w:hAnsi="Cambria Math"/>
                                </w:rPr>
                                <m:t xml:space="preserve">1,0114</m:t>
                              </m:r>
                            </m:oMath>
                            <w:r>
                              <w:rPr>
                                <w:iCs/>
                                <w:color w:val="000000" w:themeColor="text1"/>
                              </w:rPr>
                              <w:t xml:space="preserve"> </w:t>
                            </w:r>
                            <w:r>
                              <w:rPr>
                                <w:iCs/>
                                <w:color w:val="000000" w:themeColor="text1"/>
                                <w:sz w:val="28"/>
                                <w:szCs w:val="28"/>
                              </w:rPr>
                              <w:t xml:space="preserve">, </w:t>
                            </w:r>
                          </w:p>
                        </w:txbxContent>
                      </wps:txbx>
                      <wps:bodyPr lIns="0" rIns="0" tIns="0" bIns="0" anchor="t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shape_0" ID="TextBox 3" path="m0,0l-2147483645,0l-2147483645,-2147483646l0,-2147483646xe" stroked="f" o:allowincell="f" style="position:absolute;margin-left:0pt;margin-top:-18.05pt;width:181.35pt;height:17.95pt;mso-wrap-style:square;v-text-anchor:top;mso-position-vertical:top" wp14:anchorId="79941B90">
                <v:fill o:detectmouseclick="t" on="false"/>
                <v:stroke color="#3465a4" joinstyle="round" endcap="flat"/>
                <v:textbox>
                  <w:txbxContent>
                    <w:p>
                      <w:pPr>
                        <w:pStyle w:val="NormalWeb"/>
                        <w:spacing w:before="0" w:after="0"/>
                        <w:rPr/>
                      </w:pPr>
                      <w:r>
                        <w:rPr/>
                      </w:r>
                      <m:oMath xmlns:m="http://schemas.openxmlformats.org/officeDocument/2006/math">
                        <m:r>
                          <w:rPr>
                            <w:rFonts w:ascii="Cambria Math" w:hAnsi="Cambria Math"/>
                          </w:rPr>
                          <m:t xml:space="preserve">Иинфмес</m:t>
                        </m:r>
                        <m:r>
                          <w:rPr>
                            <w:rFonts w:ascii="Cambria Math" w:hAnsi="Cambria Math"/>
                          </w:rPr>
                          <m:t xml:space="preserve">2024</m:t>
                        </m:r>
                        <m:r>
                          <w:rPr>
                            <w:rFonts w:ascii="Cambria Math" w:hAnsi="Cambria Math"/>
                          </w:rPr>
                          <m:t xml:space="preserve">=</m:t>
                        </m:r>
                        <m:rad>
                          <m:deg>
                            <m:r>
                              <w:rPr>
                                <w:rFonts w:ascii="Cambria Math" w:hAnsi="Cambria Math"/>
                              </w:rPr>
                              <m:t xml:space="preserve">12</m:t>
                            </m:r>
                          </m:deg>
                          <m:e>
                            <m:r>
                              <w:rPr>
                                <w:rFonts w:ascii="Cambria Math" w:hAnsi="Cambria Math"/>
                              </w:rPr>
                              <m:t xml:space="preserve">1.146</m:t>
                            </m:r>
                          </m:e>
                        </m:rad>
                        <m:r>
                          <w:rPr>
                            <w:rFonts w:ascii="Cambria Math" w:hAnsi="Cambria Math"/>
                          </w:rPr>
                          <m:t xml:space="preserve">=</m:t>
                        </m:r>
                        <m:r>
                          <w:rPr>
                            <w:rFonts w:ascii="Cambria Math" w:hAnsi="Cambria Math"/>
                          </w:rPr>
                          <m:t xml:space="preserve">1,0114</m:t>
                        </m:r>
                      </m:oMath>
                      <w:r>
                        <w:rPr>
                          <w:iCs/>
                          <w:color w:val="000000" w:themeColor="text1"/>
                        </w:rPr>
                        <w:t xml:space="preserve"> </w:t>
                      </w:r>
                      <w:r>
                        <w:rPr>
                          <w:iCs/>
                          <w:color w:val="000000" w:themeColor="text1"/>
                          <w:sz w:val="28"/>
                          <w:szCs w:val="28"/>
                        </w:rPr>
                        <w:t xml:space="preserve">, 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</w:p>
    <w:p>
      <w:pPr>
        <w:pStyle w:val="NormalWeb"/>
        <w:spacing w:before="0" w:after="0"/>
        <w:contextualSpacing/>
        <w:jc w:val="center"/>
        <w:rPr>
          <w:rFonts w:ascii="Times New Roman" w:hAnsi="Times New Roman"/>
        </w:rPr>
      </w:pPr>
      <w:r>
        <w:rPr/>
      </w:r>
      <m:oMath xmlns:m="http://schemas.openxmlformats.org/officeDocument/2006/math">
        <m:r>
          <w:rPr>
            <w:rFonts w:ascii="Cambria Math" w:hAnsi="Cambria Math"/>
          </w:rPr>
          <m:t xml:space="preserve">Иинфмес</m:t>
        </m:r>
        <m:r>
          <w:rPr>
            <w:rFonts w:ascii="Cambria Math" w:hAnsi="Cambria Math"/>
          </w:rPr>
          <m:t xml:space="preserve">2025</m:t>
        </m:r>
        <m:r>
          <w:rPr>
            <w:rFonts w:ascii="Cambria Math" w:hAnsi="Cambria Math"/>
          </w:rPr>
          <m:t xml:space="preserve">=</m:t>
        </m:r>
        <m:rad>
          <m:deg>
            <m:r>
              <w:rPr>
                <w:rFonts w:ascii="Cambria Math" w:hAnsi="Cambria Math"/>
              </w:rPr>
              <m:t xml:space="preserve">12</m:t>
            </m:r>
          </m:deg>
          <m:e>
            <m:r>
              <w:rPr>
                <w:rFonts w:ascii="Cambria Math" w:hAnsi="Cambria Math"/>
              </w:rPr>
              <m:t xml:space="preserve">1.07</m:t>
            </m:r>
          </m:e>
        </m:rad>
        <m:r>
          <w:rPr>
            <w:rFonts w:ascii="Cambria Math" w:hAnsi="Cambria Math"/>
          </w:rPr>
          <m:t xml:space="preserve">=</m:t>
        </m:r>
        <m:r>
          <w:rPr>
            <w:rFonts w:ascii="Cambria Math" w:hAnsi="Cambria Math"/>
          </w:rPr>
          <m:t xml:space="preserve">1,0057</m:t>
        </m:r>
      </m:oMath>
      <w:r>
        <w:rPr>
          <w:rFonts w:ascii="Times New Roman" w:hAnsi="Times New Roman"/>
          <w:iCs/>
          <w:color w:val="000000" w:themeColor="text1"/>
        </w:rPr>
        <w:t xml:space="preserve">, </w:t>
      </w:r>
    </w:p>
    <w:p>
      <w:pPr>
        <w:pStyle w:val="ConsPlusNormal1"/>
        <w:widowControl/>
        <w:tabs>
          <w:tab w:val="clear" w:pos="708"/>
          <w:tab w:val="left" w:pos="1134" w:leader="none"/>
        </w:tabs>
        <w:spacing w:before="0" w:after="40"/>
        <w:ind w:left="720"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Индекс-инфляции на период исполнения договора</w:t>
      </w:r>
    </w:p>
    <w:p>
      <w:pPr>
        <w:pStyle w:val="Normal"/>
        <w:tabs>
          <w:tab w:val="clear" w:pos="708"/>
          <w:tab w:val="left" w:pos="0" w:leader="none"/>
        </w:tabs>
        <w:jc w:val="center"/>
        <w:rPr>
          <w:rFonts w:ascii="Times New Roman" w:hAnsi="Times New Roman"/>
          <w:i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mc:AlternateContent>
          <mc:Choice Requires="wps">
            <w:drawing>
              <wp:anchor behindDoc="0" distT="0" distB="0" distL="0" distR="0" simplePos="0" locked="0" layoutInCell="0" allowOverlap="1" relativeHeight="8" wp14:anchorId="0BCC4619">
                <wp:simplePos x="0" y="0"/>
                <wp:positionH relativeFrom="column">
                  <wp:posOffset>41910</wp:posOffset>
                </wp:positionH>
                <wp:positionV relativeFrom="paragraph">
                  <wp:posOffset>8890</wp:posOffset>
                </wp:positionV>
                <wp:extent cx="3253740" cy="403860"/>
                <wp:effectExtent l="0" t="0" r="0" b="0"/>
                <wp:wrapNone/>
                <wp:docPr id="5" name="TextBox 4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53680" cy="40392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NormalWeb"/>
                              <w:spacing w:before="0" w:after="0"/>
                              <w:ind w:left="-567" w:hanging="0"/>
                              <w:jc w:val="center"/>
                              <w:rPr>
                                <w:color w:val="000000"/>
                              </w:rPr>
                            </w:pPr>
                            <w:r>
                              <w:rPr/>
                            </w:r>
                            <m:oMathPara xmlns:m="http://schemas.openxmlformats.org/officeDocument/2006/math">
                              <m:oMathParaPr>
                                <m:jc m:val="center"/>
                              </m:oMathParaPr>
                              <m:oMath>
                                <m:r>
                                  <w:rPr>
                                    <w:rFonts w:ascii="Cambria Math" w:hAnsi="Cambria Math"/>
                                  </w:rPr>
                                  <m:t xml:space="preserve">Иинфлпер</m:t>
                                </m:r>
                                <m:r>
                                  <w:rPr>
                                    <w:rFonts w:ascii="Cambria Math" w:hAnsi="Cambria Math"/>
                                  </w:rPr>
                                  <m:t xml:space="preserve">2024</m:t>
                                </m:r>
                                <m:r>
                                  <w:rPr>
                                    <w:rFonts w:ascii="Cambria Math" w:hAnsi="Cambria Math"/>
                                  </w:rPr>
                                  <m:t xml:space="preserve">=</m:t>
                                </m:r>
                                <m:d>
                                  <m:dPr>
                                    <m:begChr m:val="("/>
                                    <m:endChr m:val=")"/>
                                  </m:dPr>
                                  <m:e>
                                    <m:f>
                                      <m:num>
                                        <m:sSup>
                                          <m:e>
                                            <m:r>
                                              <w:rPr>
                                                <w:rFonts w:ascii="Cambria Math" w:hAnsi="Cambria Math"/>
                                              </w:rPr>
                                              <m:t xml:space="preserve">1,0114</m:t>
                                            </m:r>
                                          </m:e>
                                          <m:sup>
                                            <m:r>
                                              <w:rPr>
                                                <w:rFonts w:ascii="Cambria Math" w:hAnsi="Cambria Math"/>
                                              </w:rPr>
                                              <m:t xml:space="preserve">3</m:t>
                                            </m:r>
                                          </m:sup>
                                        </m:sSup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 xml:space="preserve">−</m:t>
                                        </m:r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 xml:space="preserve">1</m:t>
                                        </m:r>
                                      </m:num>
                                      <m:den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 xml:space="preserve">2</m:t>
                                        </m:r>
                                      </m:den>
                                    </m:f>
                                  </m:e>
                                </m:d>
                                <m:r>
                                  <w:rPr>
                                    <w:rFonts w:ascii="Cambria Math" w:hAnsi="Cambria Math"/>
                                  </w:rPr>
                                  <m:t xml:space="preserve">+</m:t>
                                </m:r>
                                <m:r>
                                  <w:rPr>
                                    <w:rFonts w:ascii="Cambria Math" w:hAnsi="Cambria Math"/>
                                  </w:rPr>
                                  <m:t xml:space="preserve">1</m:t>
                                </m:r>
                                <m:r>
                                  <w:rPr>
                                    <w:rFonts w:ascii="Cambria Math" w:hAnsi="Cambria Math"/>
                                  </w:rPr>
                                  <m:t xml:space="preserve">=</m:t>
                                </m:r>
                                <m:r>
                                  <w:rPr>
                                    <w:rFonts w:ascii="Cambria Math" w:hAnsi="Cambria Math"/>
                                  </w:rPr>
                                  <m:t xml:space="preserve">1,0173</m:t>
                                </m:r>
                              </m:oMath>
                            </m:oMathPara>
                          </w:p>
                        </w:txbxContent>
                      </wps:txbx>
                      <wps:bodyPr lIns="0" rIns="0" tIns="0" bIns="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TextBox 4" path="m0,0l-2147483645,0l-2147483645,-2147483646l0,-2147483646xe" stroked="f" o:allowincell="f" style="position:absolute;margin-left:3.3pt;margin-top:0.7pt;width:256.15pt;height:31.75pt;mso-wrap-style:none;v-text-anchor:middle" wp14:anchorId="0BCC4619">
                <v:fill o:detectmouseclick="t" on="false"/>
                <v:stroke color="#3465a4" joinstyle="round" endcap="flat"/>
                <v:textbox>
                  <w:txbxContent>
                    <w:p>
                      <w:pPr>
                        <w:pStyle w:val="NormalWeb"/>
                        <w:spacing w:before="0" w:after="0"/>
                        <w:ind w:left="-567" w:hanging="0"/>
                        <w:jc w:val="center"/>
                        <w:rPr>
                          <w:color w:val="000000"/>
                        </w:rPr>
                      </w:pPr>
                      <w:r>
                        <w:rPr/>
                      </w:r>
                      <m:oMathPara xmlns:m="http://schemas.openxmlformats.org/officeDocument/2006/math">
                        <m:oMathParaPr>
                          <m:jc m:val="center"/>
                        </m:oMathParaPr>
                        <m:oMath>
                          <m:r>
                            <w:rPr>
                              <w:rFonts w:ascii="Cambria Math" w:hAnsi="Cambria Math"/>
                            </w:rPr>
                            <m:t xml:space="preserve">Иинфлпер</m:t>
                          </m:r>
                          <m:r>
                            <w:rPr>
                              <w:rFonts w:ascii="Cambria Math" w:hAnsi="Cambria Math"/>
                            </w:rPr>
                            <m:t xml:space="preserve">2024</m:t>
                          </m:r>
                          <m:r>
                            <w:rPr>
                              <w:rFonts w:ascii="Cambria Math" w:hAnsi="Cambria Math"/>
                            </w:rPr>
                            <m:t xml:space="preserve">=</m:t>
                          </m:r>
                          <m:d>
                            <m:dPr>
                              <m:begChr m:val="("/>
                              <m:endChr m:val=")"/>
                            </m:dPr>
                            <m:e>
                              <m:f>
                                <m:num>
                                  <m:sSup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 xml:space="preserve">1,0114</m:t>
                                      </m:r>
                                    </m:e>
                                    <m:sup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 xml:space="preserve">3</m:t>
                                      </m:r>
                                    </m:sup>
                                  </m:sSup>
                                  <m:r>
                                    <w:rPr>
                                      <w:rFonts w:ascii="Cambria Math" w:hAnsi="Cambria Math"/>
                                    </w:rPr>
                                    <m:t xml:space="preserve">−</m:t>
                                  </m:r>
                                  <m:r>
                                    <w:rPr>
                                      <w:rFonts w:ascii="Cambria Math" w:hAnsi="Cambria Math"/>
                                    </w:rPr>
                                    <m:t xml:space="preserve">1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hAnsi="Cambria Math"/>
                                    </w:rPr>
                                    <m:t xml:space="preserve">2</m:t>
                                  </m:r>
                                </m:den>
                              </m:f>
                            </m:e>
                          </m:d>
                          <m:r>
                            <w:rPr>
                              <w:rFonts w:ascii="Cambria Math" w:hAnsi="Cambria Math"/>
                            </w:rPr>
                            <m:t xml:space="preserve">+</m:t>
                          </m:r>
                          <m:r>
                            <w:rPr>
                              <w:rFonts w:ascii="Cambria Math" w:hAnsi="Cambria Math"/>
                            </w:rPr>
                            <m:t xml:space="preserve">1</m:t>
                          </m:r>
                          <m:r>
                            <w:rPr>
                              <w:rFonts w:ascii="Cambria Math" w:hAnsi="Cambria Math"/>
                            </w:rPr>
                            <m:t xml:space="preserve">=</m:t>
                          </m:r>
                          <m:r>
                            <w:rPr>
                              <w:rFonts w:ascii="Cambria Math" w:hAnsi="Cambria Math"/>
                            </w:rPr>
                            <m:t xml:space="preserve">1,0173</m:t>
                          </m:r>
                        </m:oMath>
                      </m:oMathPara>
                    </w:p>
                  </w:txbxContent>
                </v:textbox>
                <w10:wrap type="none"/>
              </v:rect>
            </w:pict>
          </mc:Fallback>
        </mc:AlternateContent>
      </w:r>
    </w:p>
    <w:p>
      <w:pPr>
        <w:pStyle w:val="ConsPlusNormal1"/>
        <w:widowControl/>
        <w:tabs>
          <w:tab w:val="clear" w:pos="708"/>
          <w:tab w:val="left" w:pos="0" w:leader="none"/>
        </w:tabs>
        <w:spacing w:before="0" w:after="40"/>
        <w:contextualSpacing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</w:r>
    </w:p>
    <w:p>
      <w:pPr>
        <w:pStyle w:val="Normal"/>
        <w:tabs>
          <w:tab w:val="clear" w:pos="708"/>
          <w:tab w:val="left" w:pos="1134" w:leader="none"/>
        </w:tabs>
        <w:ind w:left="720" w:firstLine="567"/>
        <w:jc w:val="center"/>
        <w:rPr>
          <w:rFonts w:ascii="Times New Roman" w:hAnsi="Times New Roman"/>
          <w:i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mc:AlternateContent>
          <mc:Choice Requires="wps">
            <w:drawing>
              <wp:anchor behindDoc="0" distT="0" distB="0" distL="0" distR="0" simplePos="0" locked="0" layoutInCell="0" allowOverlap="1" relativeHeight="10" wp14:anchorId="302C67B2">
                <wp:simplePos x="0" y="0"/>
                <wp:positionH relativeFrom="margin">
                  <wp:align>left</wp:align>
                </wp:positionH>
                <wp:positionV relativeFrom="paragraph">
                  <wp:posOffset>5715</wp:posOffset>
                </wp:positionV>
                <wp:extent cx="3680460" cy="373380"/>
                <wp:effectExtent l="0" t="0" r="0" b="0"/>
                <wp:wrapNone/>
                <wp:docPr id="7" name="TextBox 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80640" cy="37332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NormalWeb"/>
                              <w:spacing w:before="0" w:after="0"/>
                              <w:jc w:val="center"/>
                              <w:rPr>
                                <w:color w:val="000000"/>
                              </w:rPr>
                            </w:pPr>
                            <w:r>
                              <w:rPr/>
                            </w:r>
                            <m:oMathPara xmlns:m="http://schemas.openxmlformats.org/officeDocument/2006/math">
                              <m:oMathParaPr>
                                <m:jc m:val="center"/>
                              </m:oMathParaPr>
                              <m:oMath>
                                <m:r>
                                  <w:rPr>
                                    <w:rFonts w:ascii="Cambria Math" w:hAnsi="Cambria Math"/>
                                  </w:rPr>
                                  <m:t xml:space="preserve">Иинфлпер</m:t>
                                </m:r>
                                <m:r>
                                  <w:rPr>
                                    <w:rFonts w:ascii="Cambria Math" w:hAnsi="Cambria Math"/>
                                  </w:rPr>
                                  <m:t xml:space="preserve">2025</m:t>
                                </m:r>
                                <m:r>
                                  <w:rPr>
                                    <w:rFonts w:ascii="Cambria Math" w:hAnsi="Cambria Math"/>
                                  </w:rPr>
                                  <m:t xml:space="preserve">=</m:t>
                                </m:r>
                                <m:sSup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 xml:space="preserve">1,0114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</w:rPr>
                                      <m:t xml:space="preserve">3</m:t>
                                    </m:r>
                                  </m:sup>
                                </m:sSup>
                                <m:d>
                                  <m:dPr>
                                    <m:begChr m:val="("/>
                                    <m:endChr m:val=")"/>
                                  </m:dPr>
                                  <m:e>
                                    <m:f>
                                      <m:num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 xml:space="preserve">1,0057</m:t>
                                        </m:r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 xml:space="preserve">−</m:t>
                                        </m:r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 xml:space="preserve">1,07</m:t>
                                        </m:r>
                                      </m:num>
                                      <m:den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 xml:space="preserve">2</m:t>
                                        </m:r>
                                      </m:den>
                                    </m:f>
                                  </m:e>
                                </m:d>
                                <m:r>
                                  <w:rPr>
                                    <w:rFonts w:ascii="Cambria Math" w:hAnsi="Cambria Math"/>
                                  </w:rPr>
                                  <m:t xml:space="preserve">=</m:t>
                                </m:r>
                                <m:r>
                                  <w:rPr>
                                    <w:rFonts w:ascii="Cambria Math" w:hAnsi="Cambria Math"/>
                                  </w:rPr>
                                  <m:t xml:space="preserve">1,0738</m:t>
                                </m:r>
                              </m:oMath>
                            </m:oMathPara>
                          </w:p>
                        </w:txbxContent>
                      </wps:txbx>
                      <wps:bodyPr lIns="0" rIns="0" tIns="0" bIns="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TextBox 1" path="m0,0l-2147483645,0l-2147483645,-2147483646l0,-2147483646xe" stroked="f" o:allowincell="f" style="position:absolute;margin-left:0pt;margin-top:0.45pt;width:289.75pt;height:29.35pt;mso-wrap-style:none;v-text-anchor:middle;mso-position-horizontal:left;mso-position-horizontal-relative:margin" wp14:anchorId="302C67B2">
                <v:fill o:detectmouseclick="t" on="false"/>
                <v:stroke color="#3465a4" joinstyle="round" endcap="flat"/>
                <v:textbox>
                  <w:txbxContent>
                    <w:p>
                      <w:pPr>
                        <w:pStyle w:val="NormalWeb"/>
                        <w:spacing w:before="0" w:after="0"/>
                        <w:jc w:val="center"/>
                        <w:rPr>
                          <w:color w:val="000000"/>
                        </w:rPr>
                      </w:pPr>
                      <w:r>
                        <w:rPr/>
                      </w:r>
                      <m:oMathPara xmlns:m="http://schemas.openxmlformats.org/officeDocument/2006/math">
                        <m:oMathParaPr>
                          <m:jc m:val="center"/>
                        </m:oMathParaPr>
                        <m:oMath>
                          <m:r>
                            <w:rPr>
                              <w:rFonts w:ascii="Cambria Math" w:hAnsi="Cambria Math"/>
                            </w:rPr>
                            <m:t xml:space="preserve">Иинфлпер</m:t>
                          </m:r>
                          <m:r>
                            <w:rPr>
                              <w:rFonts w:ascii="Cambria Math" w:hAnsi="Cambria Math"/>
                            </w:rPr>
                            <m:t xml:space="preserve">2025</m:t>
                          </m:r>
                          <m:r>
                            <w:rPr>
                              <w:rFonts w:ascii="Cambria Math" w:hAnsi="Cambria Math"/>
                            </w:rPr>
                            <m:t xml:space="preserve">=</m:t>
                          </m:r>
                          <m:sSup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 xml:space="preserve">1,0114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 xml:space="preserve">3</m:t>
                              </m:r>
                            </m:sup>
                          </m:sSup>
                          <m:d>
                            <m:dPr>
                              <m:begChr m:val="("/>
                              <m:endChr m:val=")"/>
                            </m:dPr>
                            <m:e>
                              <m:f>
                                <m:num>
                                  <m:r>
                                    <w:rPr>
                                      <w:rFonts w:ascii="Cambria Math" w:hAnsi="Cambria Math"/>
                                    </w:rPr>
                                    <m:t xml:space="preserve">1,0057</m:t>
                                  </m:r>
                                  <m:r>
                                    <w:rPr>
                                      <w:rFonts w:ascii="Cambria Math" w:hAnsi="Cambria Math"/>
                                    </w:rPr>
                                    <m:t xml:space="preserve">−</m:t>
                                  </m:r>
                                  <m:r>
                                    <w:rPr>
                                      <w:rFonts w:ascii="Cambria Math" w:hAnsi="Cambria Math"/>
                                    </w:rPr>
                                    <m:t xml:space="preserve">1,07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hAnsi="Cambria Math"/>
                                    </w:rPr>
                                    <m:t xml:space="preserve">2</m:t>
                                  </m:r>
                                </m:den>
                              </m:f>
                            </m:e>
                          </m:d>
                          <m:r>
                            <w:rPr>
                              <w:rFonts w:ascii="Cambria Math" w:hAnsi="Cambria Math"/>
                            </w:rPr>
                            <m:t xml:space="preserve">=</m:t>
                          </m:r>
                          <m:r>
                            <w:rPr>
                              <w:rFonts w:ascii="Cambria Math" w:hAnsi="Cambria Math"/>
                            </w:rPr>
                            <m:t xml:space="preserve">1,0738</m:t>
                          </m:r>
                        </m:oMath>
                      </m:oMathPara>
                    </w:p>
                  </w:txbxContent>
                </v:textbox>
                <w10:wrap type="none"/>
              </v:rect>
            </w:pict>
          </mc:Fallback>
        </mc:AlternateContent>
      </w:r>
    </w:p>
    <w:p>
      <w:pPr>
        <w:pStyle w:val="Normal"/>
        <w:tabs>
          <w:tab w:val="clear" w:pos="708"/>
          <w:tab w:val="left" w:pos="1134" w:leader="none"/>
        </w:tabs>
        <w:ind w:left="720" w:firstLine="567"/>
        <w:jc w:val="center"/>
        <w:rPr>
          <w:rFonts w:ascii="Times New Roman" w:hAnsi="Times New Roman"/>
          <w:i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</w:r>
    </w:p>
    <w:p>
      <w:pPr>
        <w:pStyle w:val="Normal"/>
        <w:tabs>
          <w:tab w:val="clear" w:pos="708"/>
          <w:tab w:val="left" w:pos="1134" w:leader="none"/>
        </w:tabs>
        <w:ind w:left="720"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Итого индекс инфляции на 2024-2025гг. 0,25*1,0173+0,75*1,0738=1,0597</w:t>
      </w:r>
    </w:p>
    <w:p>
      <w:pPr>
        <w:pStyle w:val="Normal"/>
        <w:tabs>
          <w:tab w:val="clear" w:pos="708"/>
          <w:tab w:val="left" w:pos="1134" w:leader="none"/>
        </w:tabs>
        <w:ind w:left="720" w:firstLine="567"/>
        <w:rPr>
          <w:rFonts w:ascii="Times New Roman" w:hAnsi="Times New Roman"/>
          <w:sz w:val="24"/>
          <w:szCs w:val="24"/>
        </w:rPr>
      </w:pPr>
      <w:r>
        <w:rPr/>
        <w:drawing>
          <wp:inline distT="0" distB="0" distL="0" distR="0">
            <wp:extent cx="5930900" cy="3149600"/>
            <wp:effectExtent l="0" t="0" r="0" b="0"/>
            <wp:docPr id="9" name="Рисунок 1 Копия 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Рисунок 1 Копия 1" descr="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0" t="8380" r="0" b="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0900" cy="314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tabs>
          <w:tab w:val="clear" w:pos="708"/>
          <w:tab w:val="left" w:pos="1134" w:leader="none"/>
        </w:tabs>
        <w:ind w:left="720"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ind w:left="737" w:firstLine="567"/>
        <w:rPr>
          <w:rFonts w:ascii="Times New Roman" w:hAnsi="Times New Roman"/>
          <w:sz w:val="24"/>
          <w:szCs w:val="24"/>
        </w:rPr>
      </w:pPr>
      <w:r>
        <w:rPr>
          <w:rFonts w:eastAsia="Calibri" w:cs="Calibri" w:ascii="Times New Roman" w:hAnsi="Times New Roman" w:cstheme="minorHAnsi"/>
          <w:sz w:val="24"/>
          <w:szCs w:val="24"/>
          <w:lang w:eastAsia="en-US"/>
        </w:rPr>
        <w:t>Если договором предусмотрен график выполнения работ с разбивкой на этапы</w:t>
      </w:r>
      <w:r>
        <w:rPr>
          <w:rFonts w:cs="Calibri" w:ascii="Times New Roman" w:hAnsi="Times New Roman" w:cstheme="minorHAnsi"/>
          <w:sz w:val="24"/>
          <w:szCs w:val="24"/>
        </w:rPr>
        <w:t>, индекс-дефлятор рассчитывается индивидуально для каждого этапа в соответствии с формулой (2).</w:t>
      </w:r>
    </w:p>
    <w:p>
      <w:pPr>
        <w:pStyle w:val="Dt-p"/>
        <w:shd w:val="clear" w:color="auto" w:fill="FFFFFF"/>
        <w:spacing w:before="0" w:after="0"/>
        <w:ind w:left="720" w:firstLine="567"/>
        <w:contextualSpacing/>
        <w:jc w:val="center"/>
        <w:textAlignment w:val="baseline"/>
        <w:rPr/>
      </w:pPr>
      <w:r>
        <w:rPr>
          <w:b/>
          <w:color w:val="000000"/>
        </w:rPr>
        <w:t>Пример расчета индекса фактической инфляции</w:t>
      </w:r>
    </w:p>
    <w:p>
      <w:pPr>
        <w:pStyle w:val="Dt-p"/>
        <w:shd w:val="clear" w:color="auto" w:fill="FFFFFF"/>
        <w:spacing w:before="0" w:after="0"/>
        <w:ind w:left="720" w:firstLine="567"/>
        <w:contextualSpacing/>
        <w:jc w:val="both"/>
        <w:textAlignment w:val="baseline"/>
        <w:rPr/>
      </w:pPr>
      <w:r>
        <w:rPr>
          <w:iCs/>
        </w:rPr>
        <w:t xml:space="preserve">В соответствии с условиями Договора начало строительства – декабрь 2023г, окончание май 2024 г. Продолжительность реконструкции / строительства составляет–6 месяцев. Уровень цен – </w:t>
      </w:r>
      <w:r>
        <w:rPr>
          <w:iCs/>
          <w:u w:val="single"/>
        </w:rPr>
        <w:t>3 квартал 2022</w:t>
      </w:r>
      <w:r>
        <w:rPr>
          <w:iCs/>
        </w:rPr>
        <w:t xml:space="preserve"> г. Сметная документация составлена с применением СНБ – ГЭСН-2020, ФЕР-2020 (с изм 1-7). </w:t>
      </w:r>
    </w:p>
    <w:p>
      <w:pPr>
        <w:pStyle w:val="Dt-p"/>
        <w:shd w:val="clear" w:color="auto" w:fill="FFFFFF"/>
        <w:spacing w:before="0" w:after="0"/>
        <w:ind w:left="720" w:firstLine="567"/>
        <w:contextualSpacing/>
        <w:jc w:val="both"/>
        <w:textAlignment w:val="baseline"/>
        <w:rPr/>
      </w:pPr>
      <w:r>
        <w:rPr>
          <w:iCs/>
        </w:rPr>
        <w:t>Т.к. сметная документация разработана с применением СНБ не действующей на дату определения ПЦ, то расчет сметной стоимости работ в уровень цен на дату определения ПЦ осуществляется с использованием индекса фактической инфляции.</w:t>
      </w:r>
    </w:p>
    <w:p>
      <w:pPr>
        <w:pStyle w:val="Dt-p"/>
        <w:shd w:val="clear" w:color="auto" w:fill="FFFFFF"/>
        <w:spacing w:before="0" w:after="0"/>
        <w:ind w:left="720" w:firstLine="567"/>
        <w:contextualSpacing/>
        <w:jc w:val="both"/>
        <w:textAlignment w:val="baseline"/>
        <w:rPr>
          <w:iCs/>
        </w:rPr>
      </w:pPr>
      <w:r>
        <w:rPr>
          <w:iCs/>
        </w:rPr>
      </w:r>
    </w:p>
    <w:p>
      <w:pPr>
        <w:pStyle w:val="Dt-p"/>
        <w:shd w:val="clear" w:color="auto" w:fill="FFFFFF"/>
        <w:spacing w:before="0" w:after="0"/>
        <w:ind w:left="720" w:firstLine="567"/>
        <w:contextualSpacing/>
        <w:jc w:val="both"/>
        <w:textAlignment w:val="baseline"/>
        <w:rPr>
          <w:iCs/>
        </w:rPr>
      </w:pPr>
      <w:r>
        <w:rPr>
          <w:iCs/>
        </w:rPr>
      </w:r>
    </w:p>
    <w:p>
      <w:pPr>
        <w:pStyle w:val="Dt-p"/>
        <w:shd w:val="clear" w:color="auto" w:fill="FFFFFF"/>
        <w:spacing w:before="0" w:after="0"/>
        <w:ind w:left="720" w:firstLine="567"/>
        <w:contextualSpacing/>
        <w:jc w:val="both"/>
        <w:textAlignment w:val="baseline"/>
        <w:rPr>
          <w:iCs/>
        </w:rPr>
      </w:pPr>
      <w:r>
        <w:rPr>
          <w:iCs/>
        </w:rPr>
      </w:r>
    </w:p>
    <w:p>
      <w:pPr>
        <w:pStyle w:val="Dt-p"/>
        <w:shd w:val="clear" w:color="auto" w:fill="FFFFFF"/>
        <w:spacing w:before="0" w:after="0"/>
        <w:ind w:left="720" w:firstLine="567"/>
        <w:contextualSpacing/>
        <w:jc w:val="both"/>
        <w:textAlignment w:val="baseline"/>
        <w:rPr>
          <w:iCs/>
        </w:rPr>
      </w:pPr>
      <w:r>
        <w:rPr>
          <w:iCs/>
        </w:rPr>
      </w:r>
    </w:p>
    <w:p>
      <w:pPr>
        <w:pStyle w:val="Dt-p"/>
        <w:shd w:val="clear" w:color="auto" w:fill="FFFFFF"/>
        <w:spacing w:before="0" w:after="0"/>
        <w:ind w:left="720" w:firstLine="567"/>
        <w:contextualSpacing/>
        <w:jc w:val="both"/>
        <w:textAlignment w:val="baseline"/>
        <w:rPr>
          <w:iCs/>
        </w:rPr>
      </w:pPr>
      <w:r>
        <w:rPr>
          <w:iCs/>
        </w:rPr>
      </w:r>
    </w:p>
    <w:p>
      <w:pPr>
        <w:pStyle w:val="Dt-p"/>
        <w:shd w:val="clear" w:color="auto" w:fill="FFFFFF"/>
        <w:spacing w:before="0" w:after="0"/>
        <w:ind w:left="720" w:firstLine="567"/>
        <w:contextualSpacing/>
        <w:jc w:val="both"/>
        <w:textAlignment w:val="baseline"/>
        <w:rPr/>
      </w:pPr>
      <w:r>
        <w:rPr/>
        <w:drawing>
          <wp:inline distT="0" distB="0" distL="0" distR="0">
            <wp:extent cx="5931535" cy="4460875"/>
            <wp:effectExtent l="0" t="0" r="0" b="0"/>
            <wp:docPr id="10" name="Рисунок 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Рисунок 2" descr="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1535" cy="4460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footnotePr>
        <w:numFmt w:val="decimal"/>
        <w:numRestart w:val="eachPage"/>
      </w:footnotePr>
      <w:type w:val="nextPage"/>
      <w:pgSz w:w="11906" w:h="16838"/>
      <w:pgMar w:left="1134" w:right="851" w:gutter="0" w:header="0" w:top="1134" w:footer="0" w:bottom="1134"/>
      <w:pgNumType w:fmt="decimal"/>
      <w:formProt w:val="false"/>
      <w:textDirection w:val="lrTb"/>
      <w:docGrid w:type="default" w:linePitch="360" w:charSpace="2048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Cambria">
    <w:charset w:val="01"/>
    <w:family w:val="roman"/>
    <w:pitch w:val="variable"/>
  </w:font>
  <w:font w:name="Times New Roman">
    <w:charset w:val="01"/>
    <w:family w:val="roman"/>
    <w:pitch w:val="variable"/>
  </w:font>
  <w:font w:name="Tahoma">
    <w:charset w:val="01"/>
    <w:family w:val="roman"/>
    <w:pitch w:val="variable"/>
  </w:font>
  <w:font w:name="Arial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Verdana">
    <w:charset w:val="01"/>
    <w:family w:val="roman"/>
    <w:pitch w:val="variable"/>
  </w:font>
  <w:font w:name="Garamond">
    <w:charset w:val="01"/>
    <w:family w:val="roman"/>
    <w:pitch w:val="variable"/>
  </w:font>
  <w:font w:name="Book Antiqua">
    <w:charset w:val="01"/>
    <w:family w:val="roman"/>
    <w:pitch w:val="variable"/>
  </w:font>
  <w:font w:name="Symbol">
    <w:charset w:val="02"/>
    <w:family w:val="auto"/>
    <w:pitch w:val="default"/>
  </w:font>
  <w:font w:name="Courier New">
    <w:charset w:val="01"/>
    <w:family w:val="modern"/>
    <w:pitch w:val="fixed"/>
  </w:font>
  <w:font w:name="Wingdings">
    <w:charset w:val="02"/>
    <w:family w:val="auto"/>
    <w:pitch w:val="default"/>
  </w:font>
</w:fonts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footnote w:id="0" w:type="separator">
    <w:p>
      <w:pPr>
        <w:rPr>
          <w:sz w:val="12"/>
        </w:rPr>
      </w:pPr>
      <w:r>
        <w:separator/>
      </w:r>
    </w:p>
  </w:footnote>
  <w:footnote w:id="1" w:type="continuationSeparator">
    <w:p>
      <w:pPr>
        <w:rPr>
          <w:sz w:val="12"/>
        </w:rPr>
      </w:pPr>
      <w:r>
        <w:continuationSeparator/>
      </w:r>
    </w:p>
  </w:footnote>
  <w:footnote w:id="2">
    <w:p>
      <w:pPr>
        <w:pStyle w:val="FootnoteText"/>
        <w:jc w:val="both"/>
        <w:rPr/>
      </w:pPr>
      <w:r>
        <w:rPr>
          <w:rStyle w:val="Style4"/>
        </w:rPr>
        <w:footnoteRef/>
      </w:r>
      <w:r>
        <w:rPr/>
        <w:t xml:space="preserve"> </w:t>
      </w:r>
      <w:r>
        <w:rPr/>
        <w:t xml:space="preserve">Пункт </w:t>
      </w:r>
      <w:r>
        <w:rPr/>
        <w:fldChar w:fldCharType="begin"/>
      </w:r>
      <w:r>
        <w:rPr/>
        <w:instrText xml:space="preserve"> REF _Ref19086149 \r \h </w:instrText>
      </w:r>
      <w:r>
        <w:rPr/>
        <w:fldChar w:fldCharType="separate"/>
      </w:r>
      <w:r>
        <w:rPr/>
        <w:t>Ошибка: источник перекрёстной ссылки не найден</w:t>
      </w:r>
      <w:r>
        <w:rPr/>
        <w:fldChar w:fldCharType="end"/>
      </w:r>
      <w:r>
        <w:rPr/>
        <w:t xml:space="preserve"> учитывается при указании соответствующих услуг, предоставляемых ПАО «РусГидро» подрядным организациям в разделе технических требований «Иные условия поставки товаров, выполнения работ, оказания услуг».  </w:t>
      </w:r>
    </w:p>
  </w:footnote>
  <w:footnote w:id="3">
    <w:p>
      <w:pPr>
        <w:pStyle w:val="FootnoteText"/>
        <w:jc w:val="both"/>
        <w:rPr/>
      </w:pPr>
      <w:r>
        <w:rPr>
          <w:rStyle w:val="Style4"/>
        </w:rPr>
        <w:footnoteRef/>
      </w:r>
      <w:r>
        <w:rPr/>
        <w:t xml:space="preserve"> </w:t>
      </w:r>
      <w:r>
        <w:rPr/>
        <w:t xml:space="preserve">Стоимость электроэнергии определять в соответствии с рекомендациями, изложенными по ссылке </w:t>
      </w:r>
      <w:hyperlink r:id="rId1">
        <w:r>
          <w:rPr>
            <w:rStyle w:val="Hyperlink"/>
          </w:rPr>
          <w:t>http://grandsmeta82.ru/znaj-kak/grand-smeta-baza-znanij/109-raschet-zatrat-na-energonositeli-elektroenergiyu-toplivo-i-pr-v-grand-smete.html</w:t>
        </w:r>
      </w:hyperlink>
      <w:r>
        <w:rPr/>
        <w:t xml:space="preserve"> </w:t>
      </w:r>
    </w:p>
    <w:p>
      <w:pPr>
        <w:pStyle w:val="FootnoteText"/>
        <w:jc w:val="both"/>
        <w:rPr/>
      </w:pPr>
      <w:r>
        <w:rPr/>
      </w:r>
    </w:p>
  </w:footnote>
  <w:footnote w:id="4">
    <w:p>
      <w:pPr>
        <w:pStyle w:val="FootnoteText"/>
        <w:rPr/>
      </w:pPr>
      <w:r>
        <w:rPr>
          <w:rStyle w:val="Style4"/>
        </w:rPr>
        <w:footnoteRef/>
      </w:r>
      <w:r>
        <w:rPr/>
        <w:t xml:space="preserve"> </w:t>
      </w:r>
      <w:r>
        <w:rPr/>
        <w:t>Если в организации функции главного бухгалтера выполняет генеральный директор–ставится только его виза.</w:t>
      </w:r>
    </w:p>
    <w:p>
      <w:pPr>
        <w:pStyle w:val="FootnoteText"/>
        <w:rPr/>
      </w:pPr>
      <w:r>
        <w:rPr/>
        <w:t>Возможно предоставление иной формы справки в соответствии с внутренним документооборотом организации.</w:t>
      </w:r>
    </w:p>
  </w:footnote>
</w:footnote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center"/>
      <w:pPr>
        <w:tabs>
          <w:tab w:val="num" w:pos="567"/>
        </w:tabs>
        <w:ind w:left="567" w:hanging="279"/>
      </w:pPr>
      <w:rPr/>
    </w:lvl>
    <w:lvl w:ilvl="1">
      <w:start w:val="1"/>
      <w:numFmt w:val="decimal"/>
      <w:lvlText w:val="%1.%2."/>
      <w:lvlJc w:val="left"/>
      <w:pPr>
        <w:tabs>
          <w:tab w:val="num" w:pos="1844"/>
        </w:tabs>
        <w:ind w:left="1844" w:hanging="567"/>
      </w:pPr>
      <w:rPr>
        <w:u w:val="none"/>
      </w:rPr>
    </w:lvl>
    <w:lvl w:ilvl="2">
      <w:start w:val="1"/>
      <w:numFmt w:val="decimal"/>
      <w:lvlText w:val="%1.%2.%3."/>
      <w:lvlJc w:val="left"/>
      <w:pPr>
        <w:tabs>
          <w:tab w:val="num" w:pos="993"/>
        </w:tabs>
        <w:ind w:left="993" w:hanging="851"/>
      </w:pPr>
      <w:rPr>
        <w:dstrike w:val="false"/>
        <w:strike w:val="false"/>
      </w:rPr>
    </w:lvl>
    <w:lvl w:ilvl="3">
      <w:start w:val="1"/>
      <w:numFmt w:val="decimal"/>
      <w:lvlText w:val="%1.%2.%3.%4."/>
      <w:lvlJc w:val="left"/>
      <w:pPr>
        <w:tabs>
          <w:tab w:val="num" w:pos="1277"/>
        </w:tabs>
        <w:ind w:left="1277" w:hanging="567"/>
      </w:pPr>
      <w:rPr/>
    </w:lvl>
    <w:lvl w:ilvl="4">
      <w:start w:val="1"/>
      <w:numFmt w:val="lowerLetter"/>
      <w:lvlText w:val="%5)"/>
      <w:lvlJc w:val="left"/>
      <w:pPr>
        <w:tabs>
          <w:tab w:val="num" w:pos="1718"/>
        </w:tabs>
        <w:ind w:left="1718" w:hanging="1008"/>
      </w:pPr>
      <w:rPr/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/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i w:val="false"/>
        <w:rFonts w:ascii="Garamond" w:hAnsi="Garamond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/>
    </w:lvl>
  </w:abstractNum>
  <w:abstractNum w:abstractNumId="3">
    <w:lvl w:ilvl="0">
      <w:start w:val="1"/>
      <w:numFmt w:val="bullet"/>
      <w:lvlText w:val=""/>
      <w:lvlJc w:val="left"/>
      <w:pPr>
        <w:tabs>
          <w:tab w:val="num" w:pos="0"/>
        </w:tabs>
        <w:ind w:left="1713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43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15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87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59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31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03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75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473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927" w:hanging="360"/>
      </w:pPr>
      <w:rPr>
        <w:u w:val="no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5">
    <w:lvl w:ilvl="0">
      <w:start w:val="1"/>
      <w:numFmt w:val="bullet"/>
      <w:lvlText w:val=""/>
      <w:lvlJc w:val="left"/>
      <w:pPr>
        <w:tabs>
          <w:tab w:val="num" w:pos="0"/>
        </w:tabs>
        <w:ind w:left="1713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43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15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87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59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31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03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75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473" w:hanging="360"/>
      </w:pPr>
      <w:rPr>
        <w:rFonts w:ascii="Wingdings" w:hAnsi="Wingdings" w:cs="Wingdings" w:hint="default"/>
      </w:rPr>
    </w:lvl>
  </w:abstractNum>
  <w:abstractNum w:abstractNumId="6">
    <w:lvl w:ilvl="0">
      <w:start w:val="1"/>
      <w:numFmt w:val="bullet"/>
      <w:lvlText w:val=""/>
      <w:lvlJc w:val="left"/>
      <w:pPr>
        <w:tabs>
          <w:tab w:val="num" w:pos="0"/>
        </w:tabs>
        <w:ind w:left="1211" w:hanging="360"/>
      </w:pPr>
      <w:rPr>
        <w:rFonts w:ascii="Symbol" w:hAnsi="Symbol" w:cs="Symbol" w:hint="default"/>
        <w:color w:val="00000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36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08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80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52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24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96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68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407" w:hanging="360"/>
      </w:pPr>
      <w:rPr>
        <w:rFonts w:ascii="Wingdings" w:hAnsi="Wingdings" w:cs="Wingdings" w:hint="default"/>
      </w:rPr>
    </w:lvl>
  </w:abstractNum>
  <w:abstractNum w:abstractNumId="7">
    <w:lvl w:ilvl="0">
      <w:start w:val="1"/>
      <w:numFmt w:val="decimal"/>
      <w:lvlText w:val="%1."/>
      <w:lvlJc w:val="left"/>
      <w:pPr>
        <w:tabs>
          <w:tab w:val="num" w:pos="0"/>
        </w:tabs>
        <w:ind w:left="928" w:hanging="360"/>
      </w:pPr>
      <w:rPr>
        <w:rFonts w:ascii="Times New Roman" w:hAnsi="Times New Roman" w:eastAsia="Calibri" w:cs="Times New Roman"/>
        <w:color w:val="00000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146" w:hanging="360"/>
      </w:pPr>
      <w:rPr/>
    </w:lvl>
    <w:lvl w:ilvl="2">
      <w:start w:val="1"/>
      <w:numFmt w:val="decimal"/>
      <w:lvlText w:val="%1.%2.%3"/>
      <w:lvlJc w:val="left"/>
      <w:pPr>
        <w:tabs>
          <w:tab w:val="num" w:pos="0"/>
        </w:tabs>
        <w:ind w:left="1724" w:hanging="720"/>
      </w:pPr>
      <w:rPr/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942" w:hanging="720"/>
      </w:pPr>
      <w:rPr/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520" w:hanging="1080"/>
      </w:pPr>
      <w:rPr/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738" w:hanging="1080"/>
      </w:pPr>
      <w:rPr/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316" w:hanging="1440"/>
      </w:pPr>
      <w:rPr/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534" w:hanging="1440"/>
      </w:pPr>
      <w:rPr/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3752" w:hanging="1440"/>
      </w:pPr>
      <w:rPr/>
    </w:lvl>
  </w:abstractNum>
  <w:abstractNum w:abstractNumId="8">
    <w:lvl w:ilvl="0">
      <w:start w:val="1"/>
      <w:numFmt w:val="decimal"/>
      <w:lvlText w:val="%1."/>
      <w:lvlJc w:val="left"/>
      <w:pPr>
        <w:tabs>
          <w:tab w:val="num" w:pos="0"/>
        </w:tabs>
        <w:ind w:left="786" w:hanging="360"/>
      </w:pPr>
      <w:rPr>
        <w:sz w:val="22"/>
        <w:i w:val="false"/>
        <w:b w:val="false"/>
        <w:szCs w:val="22"/>
        <w:color w:val="auto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52" w:hanging="450"/>
      </w:pPr>
      <w:rPr>
        <w:sz w:val="22"/>
        <w:b w:val="false"/>
        <w:szCs w:val="22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582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942" w:hanging="720"/>
      </w:pPr>
      <w:rPr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662" w:hanging="1080"/>
      </w:pPr>
      <w:rPr>
        <w:sz w:val="28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022" w:hanging="1080"/>
      </w:pPr>
      <w:rPr>
        <w:sz w:val="28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382" w:hanging="1080"/>
      </w:pPr>
      <w:rPr>
        <w:sz w:val="28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102" w:hanging="1440"/>
      </w:pPr>
      <w:rPr>
        <w:sz w:val="28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462" w:hanging="1440"/>
      </w:pPr>
      <w:rPr>
        <w:sz w:val="28"/>
      </w:rPr>
    </w:lvl>
  </w:abstractNum>
  <w:abstractNum w:abstractNumId="9">
    <w:lvl w:ilvl="0">
      <w:start w:val="1"/>
      <w:numFmt w:val="bullet"/>
      <w:lvlText w:val=""/>
      <w:lvlJc w:val="left"/>
      <w:pPr>
        <w:tabs>
          <w:tab w:val="num" w:pos="0"/>
        </w:tabs>
        <w:ind w:left="347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0">
    <w:lvl w:ilvl="0">
      <w:start w:val="1"/>
      <w:numFmt w:val="bullet"/>
      <w:lvlText w:val=""/>
      <w:lvlJc w:val="left"/>
      <w:pPr>
        <w:tabs>
          <w:tab w:val="num" w:pos="0"/>
        </w:tabs>
        <w:ind w:left="185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5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29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401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7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45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17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614" w:hanging="360"/>
      </w:pPr>
      <w:rPr>
        <w:rFonts w:ascii="Wingdings" w:hAnsi="Wingdings" w:cs="Wingdings" w:hint="default"/>
      </w:rPr>
    </w:lvl>
  </w:abstractNum>
  <w:abstractNum w:abstractNumId="11"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12"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3">
    <w:lvl w:ilvl="0">
      <w:start w:val="1"/>
      <w:numFmt w:val="bullet"/>
      <w:lvlText w:val=""/>
      <w:lvlJc w:val="left"/>
      <w:pPr>
        <w:tabs>
          <w:tab w:val="num" w:pos="0"/>
        </w:tabs>
        <w:ind w:left="786" w:hanging="360"/>
      </w:pPr>
      <w:rPr>
        <w:rFonts w:ascii="Symbol" w:hAnsi="Symbol" w:cs="Symbol" w:hint="default"/>
        <w:b w:val="false"/>
        <w:color w:val="auto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false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14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</w:numbering>
</file>

<file path=word/settings.xml><?xml version="1.0" encoding="utf-8"?>
<w:settings xmlns:w="http://schemas.openxmlformats.org/wordprocessingml/2006/main">
  <w:zoom w:percent="150"/>
  <w:defaultTabStop w:val="708"/>
  <w:autoHyphenation w:val="true"/>
  <w:footnotePr>
    <w:numFmt w:val="decimal"/>
    <w:numRestart w:val="eachPage"/>
    <w:footnote w:id="0"/>
    <w:footnote w:id="1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uiPriority="0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0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6e6b6f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Times New Roman" w:cs="Times New Roman" w:asciiTheme="minorHAnsi" w:hAnsiTheme="minorHAnsi"/>
      <w:color w:val="auto"/>
      <w:kern w:val="0"/>
      <w:sz w:val="22"/>
      <w:szCs w:val="22"/>
      <w:lang w:val="ru-RU" w:eastAsia="ru-RU" w:bidi="ar-SA"/>
    </w:rPr>
  </w:style>
  <w:style w:type="paragraph" w:styleId="Heading1">
    <w:name w:val="Heading 1"/>
    <w:basedOn w:val="Normal"/>
    <w:next w:val="Normal"/>
    <w:link w:val="1"/>
    <w:uiPriority w:val="9"/>
    <w:qFormat/>
    <w:rsid w:val="006e6b6f"/>
    <w:pPr>
      <w:keepNext w:val="true"/>
      <w:keepLines/>
      <w:spacing w:lineRule="auto" w:line="240"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2"/>
    <w:uiPriority w:val="9"/>
    <w:unhideWhenUsed/>
    <w:qFormat/>
    <w:rsid w:val="006e6b6f"/>
    <w:pPr>
      <w:keepNext w:val="true"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3"/>
    <w:uiPriority w:val="9"/>
    <w:qFormat/>
    <w:rsid w:val="006e6b6f"/>
    <w:pPr>
      <w:keepNext w:val="true"/>
      <w:keepLines/>
      <w:spacing w:lineRule="auto" w:line="240" w:before="200" w:after="0"/>
      <w:outlineLvl w:val="2"/>
    </w:pPr>
    <w:rPr>
      <w:rFonts w:ascii="Cambria" w:hAnsi="Cambria"/>
      <w:b/>
      <w:bCs/>
      <w:color w:val="4F81BD"/>
      <w:sz w:val="20"/>
      <w:szCs w:val="20"/>
    </w:rPr>
  </w:style>
  <w:style w:type="paragraph" w:styleId="Heading4">
    <w:name w:val="Heading 4"/>
    <w:basedOn w:val="Normal"/>
    <w:next w:val="Normal"/>
    <w:link w:val="4"/>
    <w:uiPriority w:val="9"/>
    <w:qFormat/>
    <w:rsid w:val="006e6b6f"/>
    <w:pPr>
      <w:keepNext w:val="true"/>
      <w:keepLines/>
      <w:spacing w:lineRule="auto" w:line="240" w:before="200" w:after="0"/>
      <w:outlineLvl w:val="3"/>
    </w:pPr>
    <w:rPr>
      <w:rFonts w:ascii="Cambria" w:hAnsi="Cambria"/>
      <w:b/>
      <w:bCs/>
      <w:i/>
      <w:iCs/>
      <w:color w:val="4F81BD"/>
      <w:sz w:val="20"/>
      <w:szCs w:val="20"/>
    </w:rPr>
  </w:style>
  <w:style w:type="paragraph" w:styleId="Heading5">
    <w:name w:val="Heading 5"/>
    <w:basedOn w:val="Normal"/>
    <w:next w:val="Normal"/>
    <w:link w:val="5"/>
    <w:uiPriority w:val="9"/>
    <w:qFormat/>
    <w:rsid w:val="006e6b6f"/>
    <w:pPr>
      <w:keepNext w:val="true"/>
      <w:keepLines/>
      <w:spacing w:lineRule="auto" w:line="240" w:before="200" w:after="0"/>
      <w:outlineLvl w:val="4"/>
    </w:pPr>
    <w:rPr>
      <w:rFonts w:ascii="Cambria" w:hAnsi="Cambria"/>
      <w:color w:val="243F60"/>
      <w:sz w:val="20"/>
      <w:szCs w:val="20"/>
    </w:rPr>
  </w:style>
  <w:style w:type="paragraph" w:styleId="Heading6">
    <w:name w:val="Heading 6"/>
    <w:basedOn w:val="Normal"/>
    <w:next w:val="Normal"/>
    <w:link w:val="6"/>
    <w:uiPriority w:val="9"/>
    <w:qFormat/>
    <w:rsid w:val="006e6b6f"/>
    <w:pPr>
      <w:keepNext w:val="true"/>
      <w:keepLines/>
      <w:spacing w:lineRule="auto" w:line="240" w:before="200" w:after="0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Heading7">
    <w:name w:val="Heading 7"/>
    <w:basedOn w:val="Normal"/>
    <w:next w:val="Normal"/>
    <w:link w:val="7"/>
    <w:uiPriority w:val="9"/>
    <w:qFormat/>
    <w:rsid w:val="006e6b6f"/>
    <w:pPr>
      <w:keepNext w:val="true"/>
      <w:keepLines/>
      <w:spacing w:lineRule="auto" w:line="240" w:before="200" w:after="0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Heading8">
    <w:name w:val="Heading 8"/>
    <w:basedOn w:val="Normal"/>
    <w:next w:val="Normal"/>
    <w:link w:val="8"/>
    <w:uiPriority w:val="9"/>
    <w:qFormat/>
    <w:rsid w:val="006e6b6f"/>
    <w:pPr>
      <w:keepNext w:val="true"/>
      <w:keepLines/>
      <w:spacing w:lineRule="auto" w:line="240" w:before="200" w:after="0"/>
      <w:outlineLvl w:val="7"/>
    </w:pPr>
    <w:rPr>
      <w:rFonts w:ascii="Cambria" w:hAnsi="Cambria"/>
      <w:color w:val="4F81BD"/>
      <w:sz w:val="20"/>
      <w:szCs w:val="20"/>
    </w:rPr>
  </w:style>
  <w:style w:type="paragraph" w:styleId="Heading9">
    <w:name w:val="Heading 9"/>
    <w:basedOn w:val="Normal"/>
    <w:next w:val="Normal"/>
    <w:link w:val="9"/>
    <w:uiPriority w:val="9"/>
    <w:qFormat/>
    <w:rsid w:val="006e6b6f"/>
    <w:pPr>
      <w:keepNext w:val="true"/>
      <w:keepLines/>
      <w:spacing w:lineRule="auto" w:line="240" w:before="200" w:after="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" w:customStyle="1">
    <w:name w:val="Заголовок 1 Знак"/>
    <w:basedOn w:val="DefaultParagraphFont"/>
    <w:uiPriority w:val="9"/>
    <w:qFormat/>
    <w:rsid w:val="006e6b6f"/>
    <w:rPr>
      <w:rFonts w:ascii="Cambria" w:hAnsi="Cambria" w:eastAsia="Times New Roman" w:cs="Times New Roman"/>
      <w:b/>
      <w:bCs/>
      <w:color w:val="365F91"/>
      <w:sz w:val="28"/>
      <w:szCs w:val="28"/>
      <w:lang w:eastAsia="ru-RU"/>
    </w:rPr>
  </w:style>
  <w:style w:type="character" w:styleId="2" w:customStyle="1">
    <w:name w:val="Заголовок 2 Знак"/>
    <w:basedOn w:val="DefaultParagraphFont"/>
    <w:uiPriority w:val="9"/>
    <w:qFormat/>
    <w:rsid w:val="006e6b6f"/>
    <w:rPr>
      <w:rFonts w:ascii="Cambria" w:hAnsi="Cambria" w:eastAsia="Times New Roman" w:cs="Times New Roman"/>
      <w:b/>
      <w:bCs/>
      <w:color w:val="4F81BD"/>
      <w:sz w:val="26"/>
      <w:szCs w:val="26"/>
      <w:lang w:eastAsia="ru-RU"/>
    </w:rPr>
  </w:style>
  <w:style w:type="character" w:styleId="3" w:customStyle="1">
    <w:name w:val="Заголовок 3 Знак"/>
    <w:basedOn w:val="DefaultParagraphFont"/>
    <w:uiPriority w:val="9"/>
    <w:qFormat/>
    <w:rsid w:val="006e6b6f"/>
    <w:rPr>
      <w:rFonts w:ascii="Cambria" w:hAnsi="Cambria" w:eastAsia="Times New Roman" w:cs="Times New Roman"/>
      <w:b/>
      <w:bCs/>
      <w:color w:val="4F81BD"/>
      <w:sz w:val="20"/>
      <w:szCs w:val="20"/>
      <w:lang w:eastAsia="ru-RU"/>
    </w:rPr>
  </w:style>
  <w:style w:type="character" w:styleId="4" w:customStyle="1">
    <w:name w:val="Заголовок 4 Знак"/>
    <w:basedOn w:val="DefaultParagraphFont"/>
    <w:uiPriority w:val="9"/>
    <w:qFormat/>
    <w:rsid w:val="006e6b6f"/>
    <w:rPr>
      <w:rFonts w:ascii="Cambria" w:hAnsi="Cambria" w:eastAsia="Times New Roman" w:cs="Times New Roman"/>
      <w:b/>
      <w:bCs/>
      <w:i/>
      <w:iCs/>
      <w:color w:val="4F81BD"/>
      <w:sz w:val="20"/>
      <w:szCs w:val="20"/>
      <w:lang w:eastAsia="ru-RU"/>
    </w:rPr>
  </w:style>
  <w:style w:type="character" w:styleId="5" w:customStyle="1">
    <w:name w:val="Заголовок 5 Знак"/>
    <w:basedOn w:val="DefaultParagraphFont"/>
    <w:uiPriority w:val="9"/>
    <w:qFormat/>
    <w:rsid w:val="006e6b6f"/>
    <w:rPr>
      <w:rFonts w:ascii="Cambria" w:hAnsi="Cambria" w:eastAsia="Times New Roman" w:cs="Times New Roman"/>
      <w:color w:val="243F60"/>
      <w:sz w:val="20"/>
      <w:szCs w:val="20"/>
      <w:lang w:eastAsia="ru-RU"/>
    </w:rPr>
  </w:style>
  <w:style w:type="character" w:styleId="6" w:customStyle="1">
    <w:name w:val="Заголовок 6 Знак"/>
    <w:basedOn w:val="DefaultParagraphFont"/>
    <w:uiPriority w:val="9"/>
    <w:qFormat/>
    <w:rsid w:val="006e6b6f"/>
    <w:rPr>
      <w:rFonts w:ascii="Cambria" w:hAnsi="Cambria" w:eastAsia="Times New Roman" w:cs="Times New Roman"/>
      <w:i/>
      <w:iCs/>
      <w:color w:val="243F60"/>
      <w:sz w:val="20"/>
      <w:szCs w:val="20"/>
      <w:lang w:eastAsia="ru-RU"/>
    </w:rPr>
  </w:style>
  <w:style w:type="character" w:styleId="7" w:customStyle="1">
    <w:name w:val="Заголовок 7 Знак"/>
    <w:basedOn w:val="DefaultParagraphFont"/>
    <w:uiPriority w:val="9"/>
    <w:qFormat/>
    <w:rsid w:val="006e6b6f"/>
    <w:rPr>
      <w:rFonts w:ascii="Cambria" w:hAnsi="Cambria" w:eastAsia="Times New Roman" w:cs="Times New Roman"/>
      <w:i/>
      <w:iCs/>
      <w:color w:val="404040"/>
      <w:sz w:val="20"/>
      <w:szCs w:val="20"/>
      <w:lang w:eastAsia="ru-RU"/>
    </w:rPr>
  </w:style>
  <w:style w:type="character" w:styleId="8" w:customStyle="1">
    <w:name w:val="Заголовок 8 Знак"/>
    <w:basedOn w:val="DefaultParagraphFont"/>
    <w:uiPriority w:val="9"/>
    <w:qFormat/>
    <w:rsid w:val="006e6b6f"/>
    <w:rPr>
      <w:rFonts w:ascii="Cambria" w:hAnsi="Cambria" w:eastAsia="Times New Roman" w:cs="Times New Roman"/>
      <w:color w:val="4F81BD"/>
      <w:sz w:val="20"/>
      <w:szCs w:val="20"/>
      <w:lang w:eastAsia="ru-RU"/>
    </w:rPr>
  </w:style>
  <w:style w:type="character" w:styleId="9" w:customStyle="1">
    <w:name w:val="Заголовок 9 Знак"/>
    <w:basedOn w:val="DefaultParagraphFont"/>
    <w:uiPriority w:val="9"/>
    <w:qFormat/>
    <w:rsid w:val="006e6b6f"/>
    <w:rPr>
      <w:rFonts w:ascii="Cambria" w:hAnsi="Cambria" w:eastAsia="Times New Roman" w:cs="Times New Roman"/>
      <w:i/>
      <w:iCs/>
      <w:color w:val="404040"/>
      <w:sz w:val="20"/>
      <w:szCs w:val="20"/>
      <w:lang w:eastAsia="ru-RU"/>
    </w:rPr>
  </w:style>
  <w:style w:type="character" w:styleId="Style" w:customStyle="1">
    <w:name w:val="Абзац списка Знак"/>
    <w:link w:val="ListParagraph"/>
    <w:uiPriority w:val="34"/>
    <w:qFormat/>
    <w:rsid w:val="006e6b6f"/>
    <w:rPr>
      <w:rFonts w:ascii="Calibri" w:hAnsi="Calibri" w:eastAsia="Times New Roman" w:cs="Times New Roman"/>
      <w:lang w:eastAsia="ru-RU"/>
    </w:rPr>
  </w:style>
  <w:style w:type="character" w:styleId="Annotationreference">
    <w:name w:val="annotation reference"/>
    <w:qFormat/>
    <w:rsid w:val="006e6b6f"/>
    <w:rPr>
      <w:sz w:val="16"/>
      <w:szCs w:val="16"/>
    </w:rPr>
  </w:style>
  <w:style w:type="character" w:styleId="Style1" w:customStyle="1">
    <w:name w:val="Текст примечания Знак"/>
    <w:basedOn w:val="DefaultParagraphFont"/>
    <w:link w:val="Annotationtext"/>
    <w:qFormat/>
    <w:rsid w:val="006e6b6f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2" w:customStyle="1">
    <w:name w:val="Текст выноски Знак"/>
    <w:basedOn w:val="DefaultParagraphFont"/>
    <w:link w:val="BalloonText"/>
    <w:semiHidden/>
    <w:qFormat/>
    <w:rsid w:val="006e6b6f"/>
    <w:rPr>
      <w:rFonts w:ascii="Tahoma" w:hAnsi="Tahoma" w:eastAsia="Times New Roman" w:cs="Tahoma"/>
      <w:sz w:val="16"/>
      <w:szCs w:val="16"/>
      <w:lang w:eastAsia="ru-RU"/>
    </w:rPr>
  </w:style>
  <w:style w:type="character" w:styleId="11" w:customStyle="1">
    <w:name w:val="Подпункт Знак1"/>
    <w:link w:val="Style23"/>
    <w:qFormat/>
    <w:locked/>
    <w:rsid w:val="006e6b6f"/>
    <w:rPr>
      <w:rFonts w:ascii="Times New Roman" w:hAnsi="Times New Roman" w:eastAsia="Times New Roman" w:cs="Times New Roman"/>
      <w:b/>
      <w:sz w:val="28"/>
      <w:szCs w:val="20"/>
      <w:lang w:eastAsia="ru-RU"/>
    </w:rPr>
  </w:style>
  <w:style w:type="character" w:styleId="Hyperlink">
    <w:name w:val="Hyperlink"/>
    <w:uiPriority w:val="99"/>
    <w:rsid w:val="006e6b6f"/>
    <w:rPr>
      <w:color w:val="0000FF"/>
      <w:u w:val="single"/>
    </w:rPr>
  </w:style>
  <w:style w:type="character" w:styleId="Apple-style-span" w:customStyle="1">
    <w:name w:val="apple-style-span"/>
    <w:basedOn w:val="DefaultParagraphFont"/>
    <w:qFormat/>
    <w:rsid w:val="006e6b6f"/>
    <w:rPr/>
  </w:style>
  <w:style w:type="character" w:styleId="Apple-converted-space" w:customStyle="1">
    <w:name w:val="apple-converted-space"/>
    <w:basedOn w:val="DefaultParagraphFont"/>
    <w:qFormat/>
    <w:rsid w:val="006e6b6f"/>
    <w:rPr/>
  </w:style>
  <w:style w:type="character" w:styleId="Style3" w:customStyle="1">
    <w:name w:val="Текст сноски Знак"/>
    <w:basedOn w:val="DefaultParagraphFont"/>
    <w:uiPriority w:val="99"/>
    <w:qFormat/>
    <w:rsid w:val="006e6b6f"/>
    <w:rPr>
      <w:rFonts w:ascii="Times New Roman" w:hAnsi="Times New Roman" w:eastAsia="Calibri" w:cs="Times New Roman"/>
      <w:sz w:val="20"/>
      <w:szCs w:val="20"/>
      <w:lang w:eastAsia="ru-RU"/>
    </w:rPr>
  </w:style>
  <w:style w:type="character" w:styleId="Style4" w:customStyle="1">
    <w:name w:val="Символ сноски"/>
    <w:uiPriority w:val="99"/>
    <w:unhideWhenUsed/>
    <w:qFormat/>
    <w:rsid w:val="006e6b6f"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ConsPlusNormal" w:customStyle="1">
    <w:name w:val="ConsPlusNormal Знак"/>
    <w:link w:val="ConsPlusNormal1"/>
    <w:qFormat/>
    <w:rsid w:val="006e6b6f"/>
    <w:rPr>
      <w:rFonts w:ascii="Arial" w:hAnsi="Arial" w:eastAsia="Times New Roman" w:cs="Arial"/>
      <w:sz w:val="20"/>
      <w:szCs w:val="20"/>
      <w:lang w:eastAsia="ru-RU"/>
    </w:rPr>
  </w:style>
  <w:style w:type="character" w:styleId="Style5" w:customStyle="1">
    <w:name w:val="Верхний колонтитул Знак"/>
    <w:basedOn w:val="DefaultParagraphFont"/>
    <w:uiPriority w:val="99"/>
    <w:qFormat/>
    <w:rsid w:val="006e6b6f"/>
    <w:rPr>
      <w:rFonts w:ascii="Calibri" w:hAnsi="Calibri" w:eastAsia="Times New Roman" w:cs="Times New Roman"/>
      <w:lang w:eastAsia="ru-RU"/>
    </w:rPr>
  </w:style>
  <w:style w:type="character" w:styleId="Style6" w:customStyle="1">
    <w:name w:val="Нижний колонтитул Знак"/>
    <w:basedOn w:val="DefaultParagraphFont"/>
    <w:uiPriority w:val="99"/>
    <w:qFormat/>
    <w:rsid w:val="006e6b6f"/>
    <w:rPr>
      <w:rFonts w:ascii="Calibri" w:hAnsi="Calibri" w:eastAsia="Times New Roman" w:cs="Times New Roman"/>
      <w:lang w:eastAsia="ru-RU"/>
    </w:rPr>
  </w:style>
  <w:style w:type="character" w:styleId="Style7" w:customStyle="1">
    <w:name w:val="Схема документа Знак"/>
    <w:basedOn w:val="DefaultParagraphFont"/>
    <w:link w:val="DocumentMap"/>
    <w:uiPriority w:val="99"/>
    <w:semiHidden/>
    <w:qFormat/>
    <w:rsid w:val="006e6b6f"/>
    <w:rPr>
      <w:rFonts w:ascii="Tahoma" w:hAnsi="Tahoma" w:eastAsia="Times New Roman" w:cs="Tahoma"/>
      <w:sz w:val="16"/>
      <w:szCs w:val="16"/>
      <w:lang w:eastAsia="ru-RU"/>
    </w:rPr>
  </w:style>
  <w:style w:type="character" w:styleId="Style8" w:customStyle="1">
    <w:name w:val="Название Знак"/>
    <w:link w:val="15"/>
    <w:uiPriority w:val="10"/>
    <w:qFormat/>
    <w:rsid w:val="006e6b6f"/>
    <w:rPr>
      <w:rFonts w:ascii="Cambria" w:hAnsi="Cambria" w:eastAsia="Times New Roman" w:cs="Times New Roman"/>
      <w:color w:val="17365D"/>
      <w:spacing w:val="5"/>
      <w:kern w:val="2"/>
      <w:sz w:val="52"/>
      <w:szCs w:val="52"/>
      <w:lang w:eastAsia="ru-RU"/>
    </w:rPr>
  </w:style>
  <w:style w:type="character" w:styleId="Style9" w:customStyle="1">
    <w:name w:val="Подзаголовок Знак"/>
    <w:basedOn w:val="DefaultParagraphFont"/>
    <w:uiPriority w:val="11"/>
    <w:qFormat/>
    <w:rsid w:val="006e6b6f"/>
    <w:rPr>
      <w:rFonts w:ascii="Cambria" w:hAnsi="Cambria" w:eastAsia="Times New Roman" w:cs="Times New Roman"/>
      <w:i/>
      <w:iCs/>
      <w:color w:val="4F81BD"/>
      <w:spacing w:val="15"/>
      <w:sz w:val="24"/>
      <w:szCs w:val="24"/>
      <w:lang w:eastAsia="ru-RU"/>
    </w:rPr>
  </w:style>
  <w:style w:type="character" w:styleId="Strong">
    <w:name w:val="Strong"/>
    <w:uiPriority w:val="22"/>
    <w:qFormat/>
    <w:rsid w:val="006e6b6f"/>
    <w:rPr>
      <w:b/>
      <w:bCs/>
    </w:rPr>
  </w:style>
  <w:style w:type="character" w:styleId="Emphasis">
    <w:name w:val="Emphasis"/>
    <w:uiPriority w:val="20"/>
    <w:qFormat/>
    <w:rsid w:val="006e6b6f"/>
    <w:rPr>
      <w:i/>
      <w:iCs/>
    </w:rPr>
  </w:style>
  <w:style w:type="character" w:styleId="21" w:customStyle="1">
    <w:name w:val="Цитата 2 Знак"/>
    <w:basedOn w:val="DefaultParagraphFont"/>
    <w:link w:val="Quote"/>
    <w:uiPriority w:val="29"/>
    <w:qFormat/>
    <w:rsid w:val="006e6b6f"/>
    <w:rPr>
      <w:rFonts w:ascii="Calibri" w:hAnsi="Calibri" w:eastAsia="Calibri" w:cs="Times New Roman"/>
      <w:i/>
      <w:iCs/>
      <w:color w:val="000000"/>
      <w:sz w:val="20"/>
      <w:szCs w:val="20"/>
      <w:lang w:eastAsia="ru-RU"/>
    </w:rPr>
  </w:style>
  <w:style w:type="character" w:styleId="Style10" w:customStyle="1">
    <w:name w:val="Выделенная цитата Знак"/>
    <w:basedOn w:val="DefaultParagraphFont"/>
    <w:link w:val="IntenseQuote"/>
    <w:uiPriority w:val="30"/>
    <w:qFormat/>
    <w:rsid w:val="006e6b6f"/>
    <w:rPr>
      <w:rFonts w:ascii="Calibri" w:hAnsi="Calibri" w:eastAsia="Calibri" w:cs="Times New Roman"/>
      <w:b/>
      <w:bCs/>
      <w:i/>
      <w:iCs/>
      <w:color w:val="4F81BD"/>
      <w:sz w:val="20"/>
      <w:szCs w:val="20"/>
      <w:lang w:eastAsia="ru-RU"/>
    </w:rPr>
  </w:style>
  <w:style w:type="character" w:styleId="SubtleEmphasis">
    <w:name w:val="Subtle Emphasis"/>
    <w:uiPriority w:val="19"/>
    <w:qFormat/>
    <w:rsid w:val="006e6b6f"/>
    <w:rPr>
      <w:i/>
      <w:iCs/>
      <w:color w:val="808080"/>
    </w:rPr>
  </w:style>
  <w:style w:type="character" w:styleId="IntenseEmphasis">
    <w:name w:val="Intense Emphasis"/>
    <w:uiPriority w:val="21"/>
    <w:qFormat/>
    <w:rsid w:val="006e6b6f"/>
    <w:rPr>
      <w:b/>
      <w:bCs/>
      <w:i/>
      <w:iCs/>
      <w:color w:val="4F81BD"/>
    </w:rPr>
  </w:style>
  <w:style w:type="character" w:styleId="SubtleReference">
    <w:name w:val="Subtle Reference"/>
    <w:uiPriority w:val="31"/>
    <w:qFormat/>
    <w:rsid w:val="006e6b6f"/>
    <w:rPr>
      <w:smallCaps/>
      <w:color w:val="C0504D"/>
      <w:u w:val="single"/>
    </w:rPr>
  </w:style>
  <w:style w:type="character" w:styleId="IntenseReference">
    <w:name w:val="Intense Reference"/>
    <w:uiPriority w:val="32"/>
    <w:qFormat/>
    <w:rsid w:val="006e6b6f"/>
    <w:rPr>
      <w:b/>
      <w:bCs/>
      <w:smallCaps/>
      <w:color w:val="C0504D"/>
      <w:spacing w:val="5"/>
      <w:u w:val="single"/>
    </w:rPr>
  </w:style>
  <w:style w:type="character" w:styleId="BookTitle">
    <w:name w:val="Book Title"/>
    <w:uiPriority w:val="33"/>
    <w:qFormat/>
    <w:rsid w:val="006e6b6f"/>
    <w:rPr>
      <w:b/>
      <w:bCs/>
      <w:smallCaps/>
      <w:spacing w:val="5"/>
    </w:rPr>
  </w:style>
  <w:style w:type="character" w:styleId="Style11" w:customStyle="1">
    <w:name w:val="Электронная подпись Знак"/>
    <w:basedOn w:val="DefaultParagraphFont"/>
    <w:link w:val="E-mailSignature"/>
    <w:uiPriority w:val="99"/>
    <w:semiHidden/>
    <w:qFormat/>
    <w:rsid w:val="006e6b6f"/>
    <w:rPr>
      <w:rFonts w:ascii="Times New Roman" w:hAnsi="Times New Roman" w:eastAsia="Calibri" w:cs="Times New Roman"/>
      <w:sz w:val="24"/>
      <w:szCs w:val="24"/>
      <w:lang w:eastAsia="ru-RU"/>
    </w:rPr>
  </w:style>
  <w:style w:type="character" w:styleId="Style12" w:customStyle="1">
    <w:name w:val="Тема примечания Знак"/>
    <w:basedOn w:val="Style1"/>
    <w:link w:val="Annotationsubject"/>
    <w:semiHidden/>
    <w:qFormat/>
    <w:rsid w:val="006e6b6f"/>
    <w:rPr>
      <w:rFonts w:ascii="Times New Roman" w:hAnsi="Times New Roman" w:eastAsia="Calibri" w:cs="Times New Roman"/>
      <w:b/>
      <w:bCs/>
      <w:sz w:val="20"/>
      <w:szCs w:val="20"/>
      <w:lang w:eastAsia="ru-RU"/>
    </w:rPr>
  </w:style>
  <w:style w:type="character" w:styleId="Style13" w:customStyle="1">
    <w:name w:val="Основной текст с отступом Знак"/>
    <w:basedOn w:val="DefaultParagraphFont"/>
    <w:qFormat/>
    <w:rsid w:val="006e6b6f"/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61" w:customStyle="1">
    <w:name w:val="Основной текст (6)_"/>
    <w:basedOn w:val="DefaultParagraphFont"/>
    <w:link w:val="62"/>
    <w:qFormat/>
    <w:rsid w:val="006e6b6f"/>
    <w:rPr>
      <w:rFonts w:ascii="Times New Roman" w:hAnsi="Times New Roman"/>
      <w:shd w:fill="FFFFFF" w:val="clear"/>
    </w:rPr>
  </w:style>
  <w:style w:type="character" w:styleId="Style14" w:customStyle="1">
    <w:name w:val="Колонтитул_"/>
    <w:basedOn w:val="DefaultParagraphFont"/>
    <w:link w:val="Style27"/>
    <w:qFormat/>
    <w:rsid w:val="006e6b6f"/>
    <w:rPr>
      <w:rFonts w:ascii="Times New Roman" w:hAnsi="Times New Roman"/>
      <w:shd w:fill="FFFFFF" w:val="clear"/>
    </w:rPr>
  </w:style>
  <w:style w:type="character" w:styleId="Style15" w:customStyle="1">
    <w:name w:val="комментарий"/>
    <w:qFormat/>
    <w:rsid w:val="006e6b6f"/>
    <w:rPr>
      <w:b/>
      <w:i/>
      <w:shd w:fill="FFFF99" w:val="clear"/>
    </w:rPr>
  </w:style>
  <w:style w:type="character" w:styleId="12" w:customStyle="1">
    <w:name w:val="Абзац списка Знак1"/>
    <w:basedOn w:val="DefaultParagraphFont"/>
    <w:uiPriority w:val="34"/>
    <w:qFormat/>
    <w:rsid w:val="006e6b6f"/>
    <w:rPr>
      <w:rFonts w:ascii="Calibri" w:hAnsi="Calibri"/>
      <w:sz w:val="22"/>
    </w:rPr>
  </w:style>
  <w:style w:type="character" w:styleId="Style16" w:customStyle="1">
    <w:name w:val="Символ концевой сноски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paragraph" w:styleId="Style17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Arial Unicode MS" w:cs="Arial Unicode MS"/>
      <w:sz w:val="28"/>
      <w:szCs w:val="28"/>
    </w:rPr>
  </w:style>
  <w:style w:type="paragraph" w:styleId="BodyText">
    <w:name w:val="Body Text"/>
    <w:basedOn w:val="Normal"/>
    <w:pPr>
      <w:spacing w:before="0" w:after="140"/>
    </w:pPr>
    <w:rPr/>
  </w:style>
  <w:style w:type="paragraph" w:styleId="List">
    <w:name w:val="List"/>
    <w:basedOn w:val="BodyText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/>
  </w:style>
  <w:style w:type="paragraph" w:styleId="Title">
    <w:name w:val="Title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Arial Unicode MS" w:cs="Arial Unicode MS"/>
      <w:sz w:val="28"/>
      <w:szCs w:val="28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heading1">
    <w:name w:val="index heading1"/>
    <w:basedOn w:val="Title"/>
    <w:qFormat/>
    <w:pPr/>
    <w:rPr/>
  </w:style>
  <w:style w:type="paragraph" w:styleId="Caption11" w:customStyle="1">
    <w:name w:val="caption11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heading11" w:customStyle="1">
    <w:name w:val="index heading11"/>
    <w:basedOn w:val="Title"/>
    <w:qFormat/>
    <w:pPr/>
    <w:rPr/>
  </w:style>
  <w:style w:type="paragraph" w:styleId="Caption111" w:customStyle="1">
    <w:name w:val="caption111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heading111" w:customStyle="1">
    <w:name w:val="index heading111"/>
    <w:basedOn w:val="Title"/>
    <w:qFormat/>
    <w:pPr/>
    <w:rPr/>
  </w:style>
  <w:style w:type="paragraph" w:styleId="Caption1111" w:customStyle="1">
    <w:name w:val="caption1111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heading1111" w:customStyle="1">
    <w:name w:val="index heading1111"/>
    <w:basedOn w:val="Title"/>
    <w:qFormat/>
    <w:pPr/>
    <w:rPr/>
  </w:style>
  <w:style w:type="paragraph" w:styleId="ListParagraph">
    <w:name w:val="List Paragraph"/>
    <w:basedOn w:val="Normal"/>
    <w:link w:val="Style"/>
    <w:uiPriority w:val="34"/>
    <w:qFormat/>
    <w:rsid w:val="006e6b6f"/>
    <w:pPr>
      <w:spacing w:before="0" w:after="200"/>
      <w:ind w:left="720" w:hanging="0"/>
      <w:contextualSpacing/>
    </w:pPr>
    <w:rPr/>
  </w:style>
  <w:style w:type="paragraph" w:styleId="Annotationtext">
    <w:name w:val="annotation text"/>
    <w:basedOn w:val="Normal"/>
    <w:link w:val="Style1"/>
    <w:qFormat/>
    <w:rsid w:val="006e6b6f"/>
    <w:pPr>
      <w:spacing w:lineRule="auto" w:line="240" w:before="0" w:after="0"/>
    </w:pPr>
    <w:rPr>
      <w:rFonts w:ascii="Times New Roman" w:hAnsi="Times New Roman"/>
      <w:sz w:val="20"/>
      <w:szCs w:val="20"/>
    </w:rPr>
  </w:style>
  <w:style w:type="paragraph" w:styleId="BalloonText">
    <w:name w:val="Balloon Text"/>
    <w:basedOn w:val="Normal"/>
    <w:link w:val="Style2"/>
    <w:semiHidden/>
    <w:unhideWhenUsed/>
    <w:qFormat/>
    <w:rsid w:val="006e6b6f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Style19" w:customStyle="1">
    <w:name w:val="Обычный+ без отступа"/>
    <w:basedOn w:val="Normal"/>
    <w:qFormat/>
    <w:rsid w:val="006e6b6f"/>
    <w:pPr>
      <w:spacing w:lineRule="auto" w:line="360" w:before="120" w:after="0"/>
      <w:jc w:val="both"/>
    </w:pPr>
    <w:rPr>
      <w:rFonts w:ascii="Times New Roman" w:hAnsi="Times New Roman" w:eastAsia="MS Mincho"/>
      <w:sz w:val="28"/>
      <w:szCs w:val="28"/>
    </w:rPr>
  </w:style>
  <w:style w:type="paragraph" w:styleId="Style20" w:customStyle="1">
    <w:name w:val="Таблица шапка"/>
    <w:basedOn w:val="Normal"/>
    <w:qFormat/>
    <w:rsid w:val="006e6b6f"/>
    <w:pPr>
      <w:keepNext w:val="true"/>
      <w:spacing w:lineRule="auto" w:line="240" w:before="40" w:after="40"/>
      <w:ind w:left="57" w:right="57" w:hanging="0"/>
    </w:pPr>
    <w:rPr>
      <w:rFonts w:ascii="Times New Roman" w:hAnsi="Times New Roman"/>
      <w:sz w:val="18"/>
      <w:szCs w:val="18"/>
    </w:rPr>
  </w:style>
  <w:style w:type="paragraph" w:styleId="Style21" w:customStyle="1">
    <w:name w:val="Текст таблицы"/>
    <w:basedOn w:val="Normal"/>
    <w:qFormat/>
    <w:rsid w:val="006e6b6f"/>
    <w:pPr>
      <w:spacing w:lineRule="auto" w:line="240" w:before="40" w:after="40"/>
      <w:ind w:left="57" w:right="57" w:hanging="0"/>
    </w:pPr>
    <w:rPr>
      <w:rFonts w:ascii="Times New Roman" w:hAnsi="Times New Roman"/>
      <w:sz w:val="24"/>
      <w:szCs w:val="24"/>
    </w:rPr>
  </w:style>
  <w:style w:type="paragraph" w:styleId="Style22" w:customStyle="1">
    <w:name w:val="Пункт Знак"/>
    <w:basedOn w:val="Normal"/>
    <w:qFormat/>
    <w:rsid w:val="006e6b6f"/>
    <w:pPr>
      <w:numPr>
        <w:ilvl w:val="1"/>
        <w:numId w:val="1"/>
      </w:numPr>
      <w:tabs>
        <w:tab w:val="clear" w:pos="708"/>
        <w:tab w:val="left" w:pos="851" w:leader="none"/>
        <w:tab w:val="left" w:pos="1134" w:leader="none"/>
      </w:tabs>
      <w:spacing w:lineRule="auto" w:line="360" w:before="0" w:after="0"/>
      <w:jc w:val="both"/>
    </w:pPr>
    <w:rPr>
      <w:rFonts w:ascii="Times New Roman" w:hAnsi="Times New Roman"/>
      <w:b/>
      <w:sz w:val="28"/>
      <w:szCs w:val="20"/>
    </w:rPr>
  </w:style>
  <w:style w:type="paragraph" w:styleId="Style23" w:customStyle="1">
    <w:name w:val="Подпункт"/>
    <w:basedOn w:val="Style22"/>
    <w:link w:val="11"/>
    <w:qFormat/>
    <w:rsid w:val="006e6b6f"/>
    <w:pPr>
      <w:numPr>
        <w:ilvl w:val="2"/>
      </w:numPr>
      <w:tabs>
        <w:tab w:val="clear" w:pos="1134"/>
        <w:tab w:val="left" w:pos="851" w:leader="none"/>
      </w:tabs>
    </w:pPr>
    <w:rPr/>
  </w:style>
  <w:style w:type="paragraph" w:styleId="Style24" w:customStyle="1">
    <w:name w:val="Подподпункт"/>
    <w:basedOn w:val="Style23"/>
    <w:qFormat/>
    <w:rsid w:val="006e6b6f"/>
    <w:pPr>
      <w:numPr>
        <w:ilvl w:val="3"/>
      </w:numPr>
      <w:tabs>
        <w:tab w:val="left" w:pos="851" w:leader="none"/>
        <w:tab w:val="left" w:pos="1134" w:leader="none"/>
        <w:tab w:val="left" w:pos="1418" w:leader="none"/>
      </w:tabs>
    </w:pPr>
    <w:rPr/>
  </w:style>
  <w:style w:type="paragraph" w:styleId="Style25" w:customStyle="1">
    <w:name w:val="Подподподпункт"/>
    <w:basedOn w:val="Normal"/>
    <w:qFormat/>
    <w:rsid w:val="006e6b6f"/>
    <w:pPr>
      <w:tabs>
        <w:tab w:val="clear" w:pos="708"/>
        <w:tab w:val="left" w:pos="1134" w:leader="none"/>
        <w:tab w:val="left" w:pos="1701" w:leader="none"/>
      </w:tabs>
      <w:spacing w:lineRule="auto" w:line="360" w:before="0" w:after="0"/>
      <w:ind w:left="1718" w:hanging="1008"/>
      <w:jc w:val="both"/>
    </w:pPr>
    <w:rPr>
      <w:rFonts w:ascii="Times New Roman" w:hAnsi="Times New Roman"/>
      <w:sz w:val="28"/>
      <w:szCs w:val="20"/>
    </w:rPr>
  </w:style>
  <w:style w:type="paragraph" w:styleId="13" w:customStyle="1">
    <w:name w:val="Пункт1"/>
    <w:basedOn w:val="Normal"/>
    <w:qFormat/>
    <w:rsid w:val="006e6b6f"/>
    <w:pPr>
      <w:tabs>
        <w:tab w:val="clear" w:pos="708"/>
        <w:tab w:val="left" w:pos="567" w:leader="none"/>
      </w:tabs>
      <w:spacing w:lineRule="auto" w:line="360" w:before="240" w:after="0"/>
      <w:ind w:left="567" w:hanging="279"/>
      <w:jc w:val="center"/>
    </w:pPr>
    <w:rPr>
      <w:rFonts w:ascii="Arial" w:hAnsi="Arial"/>
      <w:b/>
      <w:sz w:val="28"/>
      <w:szCs w:val="28"/>
    </w:rPr>
  </w:style>
  <w:style w:type="paragraph" w:styleId="31" w:customStyle="1">
    <w:name w:val="Пункт_3"/>
    <w:basedOn w:val="Normal"/>
    <w:uiPriority w:val="99"/>
    <w:qFormat/>
    <w:rsid w:val="006e6b6f"/>
    <w:pPr>
      <w:tabs>
        <w:tab w:val="clear" w:pos="708"/>
        <w:tab w:val="left" w:pos="1134" w:leader="none"/>
      </w:tabs>
      <w:spacing w:lineRule="auto" w:line="360" w:before="0" w:after="0"/>
      <w:ind w:left="1134" w:hanging="1133"/>
      <w:jc w:val="both"/>
    </w:pPr>
    <w:rPr>
      <w:rFonts w:ascii="Times New Roman" w:hAnsi="Times New Roman"/>
      <w:sz w:val="28"/>
      <w:szCs w:val="20"/>
    </w:rPr>
  </w:style>
  <w:style w:type="paragraph" w:styleId="TOC1">
    <w:name w:val="TOC 1"/>
    <w:basedOn w:val="Normal"/>
    <w:next w:val="Normal"/>
    <w:autoRedefine/>
    <w:uiPriority w:val="39"/>
    <w:rsid w:val="006e6b6f"/>
    <w:pPr>
      <w:tabs>
        <w:tab w:val="clear" w:pos="708"/>
        <w:tab w:val="right" w:pos="9344" w:leader="dot"/>
      </w:tabs>
      <w:spacing w:lineRule="auto" w:line="240" w:before="0" w:after="0"/>
      <w:jc w:val="center"/>
    </w:pPr>
    <w:rPr>
      <w:rFonts w:ascii="Times New Roman" w:hAnsi="Times New Roman"/>
      <w:b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rsid w:val="006e6b6f"/>
    <w:pPr>
      <w:tabs>
        <w:tab w:val="clear" w:pos="708"/>
        <w:tab w:val="left" w:pos="426" w:leader="none"/>
        <w:tab w:val="left" w:pos="1680" w:leader="none"/>
        <w:tab w:val="right" w:pos="9344" w:leader="dot"/>
        <w:tab w:val="right" w:pos="9639" w:leader="dot"/>
      </w:tabs>
      <w:spacing w:before="0" w:after="0"/>
      <w:ind w:left="220" w:hanging="0"/>
    </w:pPr>
    <w:rPr/>
  </w:style>
  <w:style w:type="paragraph" w:styleId="FootnoteText">
    <w:name w:val="Footnote Text"/>
    <w:basedOn w:val="Normal"/>
    <w:link w:val="Style3"/>
    <w:uiPriority w:val="99"/>
    <w:unhideWhenUsed/>
    <w:rsid w:val="006e6b6f"/>
    <w:pPr>
      <w:spacing w:lineRule="auto" w:line="240" w:before="0" w:after="0"/>
    </w:pPr>
    <w:rPr>
      <w:rFonts w:ascii="Times New Roman" w:hAnsi="Times New Roman" w:eastAsia="Calibri"/>
      <w:sz w:val="20"/>
      <w:szCs w:val="20"/>
    </w:rPr>
  </w:style>
  <w:style w:type="paragraph" w:styleId="ConsPlusNormal1" w:customStyle="1">
    <w:name w:val="ConsPlusNormal"/>
    <w:link w:val="ConsPlusNormal"/>
    <w:qFormat/>
    <w:rsid w:val="006e6b6f"/>
    <w:pPr>
      <w:widowControl w:val="false"/>
      <w:suppressAutoHyphens w:val="true"/>
      <w:bidi w:val="0"/>
      <w:spacing w:before="0" w:after="0"/>
      <w:ind w:firstLine="72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Style26" w:customStyle="1">
    <w:name w:val="Таблица"/>
    <w:basedOn w:val="Normal"/>
    <w:qFormat/>
    <w:rsid w:val="006e6b6f"/>
    <w:pPr>
      <w:spacing w:lineRule="auto" w:line="240" w:before="0" w:after="0"/>
    </w:pPr>
    <w:rPr>
      <w:rFonts w:ascii="Times New Roman" w:hAnsi="Times New Roman"/>
      <w:sz w:val="20"/>
      <w:szCs w:val="20"/>
    </w:rPr>
  </w:style>
  <w:style w:type="paragraph" w:styleId="14" w:customStyle="1">
    <w:name w:val="Абзац списка1"/>
    <w:basedOn w:val="Normal"/>
    <w:qFormat/>
    <w:rsid w:val="006e6b6f"/>
    <w:pPr>
      <w:spacing w:before="0" w:after="200"/>
      <w:ind w:left="720" w:hanging="0"/>
      <w:contextualSpacing/>
    </w:pPr>
    <w:rPr/>
  </w:style>
  <w:style w:type="paragraph" w:styleId="Style27" w:customStyle="1">
    <w:name w:val="Колонтитул"/>
    <w:basedOn w:val="Normal"/>
    <w:link w:val="Style14"/>
    <w:qFormat/>
    <w:rsid w:val="006e6b6f"/>
    <w:pPr>
      <w:widowControl w:val="false"/>
      <w:shd w:val="clear" w:color="auto" w:fill="FFFFFF"/>
      <w:spacing w:lineRule="auto" w:line="240" w:before="0" w:after="0"/>
    </w:pPr>
    <w:rPr>
      <w:rFonts w:ascii="Times New Roman" w:hAnsi="Times New Roman" w:eastAsia="Calibri" w:cs="" w:cstheme="minorBidi" w:eastAsiaTheme="minorHAnsi"/>
      <w:lang w:eastAsia="en-US"/>
    </w:rPr>
  </w:style>
  <w:style w:type="paragraph" w:styleId="Header">
    <w:name w:val="Header"/>
    <w:basedOn w:val="Normal"/>
    <w:link w:val="Style5"/>
    <w:uiPriority w:val="99"/>
    <w:unhideWhenUsed/>
    <w:rsid w:val="006e6b6f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Style6"/>
    <w:uiPriority w:val="99"/>
    <w:unhideWhenUsed/>
    <w:rsid w:val="006e6b6f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DocumentMap">
    <w:name w:val="Document Map"/>
    <w:basedOn w:val="Normal"/>
    <w:link w:val="Style7"/>
    <w:uiPriority w:val="99"/>
    <w:semiHidden/>
    <w:unhideWhenUsed/>
    <w:qFormat/>
    <w:rsid w:val="006e6b6f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Style28" w:customStyle="1">
    <w:name w:val="Знак Знак Знак Знак Знак Знак Знак Знак Знак"/>
    <w:basedOn w:val="Normal"/>
    <w:qFormat/>
    <w:rsid w:val="006e6b6f"/>
    <w:pPr>
      <w:spacing w:lineRule="exact" w:line="240" w:before="0" w:after="160"/>
      <w:jc w:val="both"/>
    </w:pPr>
    <w:rPr>
      <w:rFonts w:ascii="Verdana" w:hAnsi="Verdana" w:cs="Verdana"/>
      <w:lang w:val="en-US"/>
    </w:rPr>
  </w:style>
  <w:style w:type="paragraph" w:styleId="NoSpacing">
    <w:name w:val="No Spacing"/>
    <w:basedOn w:val="Normal"/>
    <w:uiPriority w:val="1"/>
    <w:qFormat/>
    <w:rsid w:val="006e6b6f"/>
    <w:pPr>
      <w:spacing w:lineRule="auto" w:line="360" w:before="0" w:after="0"/>
    </w:pPr>
    <w:rPr>
      <w:rFonts w:ascii="Times New Roman" w:hAnsi="Times New Roman" w:eastAsia="Calibri"/>
      <w:sz w:val="24"/>
      <w:szCs w:val="24"/>
    </w:rPr>
  </w:style>
  <w:style w:type="paragraph" w:styleId="Caption11111" w:customStyle="1">
    <w:name w:val="caption11111"/>
    <w:basedOn w:val="Normal"/>
    <w:next w:val="Normal"/>
    <w:uiPriority w:val="35"/>
    <w:qFormat/>
    <w:rsid w:val="006e6b6f"/>
    <w:pPr>
      <w:spacing w:lineRule="auto" w:line="240" w:before="0" w:after="0"/>
    </w:pPr>
    <w:rPr>
      <w:rFonts w:ascii="Times New Roman" w:hAnsi="Times New Roman" w:eastAsia="Calibri"/>
      <w:b/>
      <w:bCs/>
      <w:color w:val="4F81BD"/>
      <w:sz w:val="18"/>
      <w:szCs w:val="18"/>
    </w:rPr>
  </w:style>
  <w:style w:type="paragraph" w:styleId="15" w:customStyle="1">
    <w:name w:val="Название1"/>
    <w:basedOn w:val="Normal"/>
    <w:next w:val="Normal"/>
    <w:link w:val="Style8"/>
    <w:uiPriority w:val="10"/>
    <w:qFormat/>
    <w:rsid w:val="006e6b6f"/>
    <w:pPr>
      <w:pBdr>
        <w:bottom w:val="single" w:sz="8" w:space="4" w:color="4F81BD"/>
      </w:pBdr>
      <w:spacing w:lineRule="auto" w:line="240" w:before="0" w:after="300"/>
      <w:contextualSpacing/>
    </w:pPr>
    <w:rPr>
      <w:rFonts w:ascii="Cambria" w:hAnsi="Cambria"/>
      <w:color w:val="17365D"/>
      <w:spacing w:val="5"/>
      <w:kern w:val="2"/>
      <w:sz w:val="52"/>
      <w:szCs w:val="52"/>
    </w:rPr>
  </w:style>
  <w:style w:type="paragraph" w:styleId="Subtitle">
    <w:name w:val="Subtitle"/>
    <w:basedOn w:val="Normal"/>
    <w:next w:val="Normal"/>
    <w:link w:val="Style9"/>
    <w:uiPriority w:val="11"/>
    <w:qFormat/>
    <w:rsid w:val="006e6b6f"/>
    <w:pPr>
      <w:numPr>
        <w:ilvl w:val="1"/>
      </w:numPr>
      <w:spacing w:lineRule="auto" w:line="240" w:before="0" w:after="0"/>
      <w:ind w:left="1066" w:firstLine="709"/>
    </w:pPr>
    <w:rPr>
      <w:rFonts w:ascii="Cambria" w:hAnsi="Cambria"/>
      <w:i/>
      <w:iCs/>
      <w:color w:val="4F81BD"/>
      <w:spacing w:val="15"/>
      <w:sz w:val="24"/>
      <w:szCs w:val="24"/>
    </w:rPr>
  </w:style>
  <w:style w:type="paragraph" w:styleId="Quote">
    <w:name w:val="Quote"/>
    <w:basedOn w:val="Normal"/>
    <w:next w:val="Normal"/>
    <w:link w:val="21"/>
    <w:uiPriority w:val="29"/>
    <w:qFormat/>
    <w:rsid w:val="006e6b6f"/>
    <w:pPr>
      <w:spacing w:lineRule="auto" w:line="240" w:before="0" w:after="0"/>
    </w:pPr>
    <w:rPr>
      <w:rFonts w:eastAsia="Calibri"/>
      <w:i/>
      <w:iCs/>
      <w:color w:val="000000"/>
      <w:sz w:val="20"/>
      <w:szCs w:val="20"/>
    </w:rPr>
  </w:style>
  <w:style w:type="paragraph" w:styleId="IntenseQuote">
    <w:name w:val="Intense Quote"/>
    <w:basedOn w:val="Normal"/>
    <w:next w:val="Normal"/>
    <w:link w:val="Style10"/>
    <w:uiPriority w:val="30"/>
    <w:qFormat/>
    <w:rsid w:val="006e6b6f"/>
    <w:pPr>
      <w:pBdr>
        <w:bottom w:val="single" w:sz="4" w:space="4" w:color="4F81BD"/>
      </w:pBdr>
      <w:spacing w:lineRule="auto" w:line="240" w:before="200" w:after="280"/>
      <w:ind w:left="936" w:right="936" w:hanging="0"/>
    </w:pPr>
    <w:rPr>
      <w:rFonts w:eastAsia="Calibri"/>
      <w:b/>
      <w:bCs/>
      <w:i/>
      <w:iCs/>
      <w:color w:val="4F81BD"/>
      <w:sz w:val="20"/>
      <w:szCs w:val="20"/>
    </w:rPr>
  </w:style>
  <w:style w:type="paragraph" w:styleId="IndexHeading">
    <w:name w:val="Index Heading"/>
    <w:basedOn w:val="Style17"/>
    <w:pPr/>
    <w:rPr/>
  </w:style>
  <w:style w:type="paragraph" w:styleId="TOCHeading">
    <w:name w:val="TOC Heading"/>
    <w:basedOn w:val="Heading1"/>
    <w:next w:val="Normal"/>
    <w:uiPriority w:val="39"/>
    <w:qFormat/>
    <w:rsid w:val="006e6b6f"/>
    <w:pPr>
      <w:outlineLvl w:val="9"/>
    </w:pPr>
    <w:rPr/>
  </w:style>
  <w:style w:type="paragraph" w:styleId="E-mailSignature">
    <w:name w:val="E-mail Signature"/>
    <w:basedOn w:val="Normal"/>
    <w:link w:val="Style11"/>
    <w:uiPriority w:val="99"/>
    <w:semiHidden/>
    <w:unhideWhenUsed/>
    <w:qFormat/>
    <w:rsid w:val="006e6b6f"/>
    <w:pPr>
      <w:spacing w:lineRule="auto" w:line="240" w:before="0" w:after="0"/>
    </w:pPr>
    <w:rPr>
      <w:rFonts w:ascii="Times New Roman" w:hAnsi="Times New Roman" w:eastAsia="Calibri"/>
      <w:sz w:val="24"/>
      <w:szCs w:val="24"/>
    </w:rPr>
  </w:style>
  <w:style w:type="paragraph" w:styleId="Style29" w:customStyle="1">
    <w:name w:val="Знак"/>
    <w:basedOn w:val="Normal"/>
    <w:qFormat/>
    <w:rsid w:val="006e6b6f"/>
    <w:pPr>
      <w:spacing w:lineRule="exact" w:line="240" w:before="0" w:after="160"/>
    </w:pPr>
    <w:rPr>
      <w:rFonts w:ascii="Verdana" w:hAnsi="Verdana" w:cs="Verdana"/>
      <w:sz w:val="20"/>
      <w:szCs w:val="20"/>
      <w:lang w:val="en-US"/>
    </w:rPr>
  </w:style>
  <w:style w:type="paragraph" w:styleId="Annotationsubject">
    <w:name w:val="annotation subject"/>
    <w:basedOn w:val="Annotationtext"/>
    <w:next w:val="Annotationtext"/>
    <w:link w:val="Style12"/>
    <w:semiHidden/>
    <w:qFormat/>
    <w:rsid w:val="006e6b6f"/>
    <w:pPr/>
    <w:rPr>
      <w:rFonts w:eastAsia="Calibri"/>
      <w:b/>
      <w:bCs/>
    </w:rPr>
  </w:style>
  <w:style w:type="paragraph" w:styleId="32" w:customStyle="1">
    <w:name w:val="Нумерованный список ур3"/>
    <w:basedOn w:val="Normal"/>
    <w:qFormat/>
    <w:rsid w:val="006e6b6f"/>
    <w:pPr>
      <w:numPr>
        <w:ilvl w:val="2"/>
        <w:numId w:val="2"/>
      </w:numPr>
      <w:spacing w:lineRule="auto" w:line="240" w:before="0" w:after="0"/>
      <w:jc w:val="both"/>
    </w:pPr>
    <w:rPr>
      <w:rFonts w:ascii="Garamond" w:hAnsi="Garamond"/>
      <w:sz w:val="24"/>
      <w:szCs w:val="20"/>
    </w:rPr>
  </w:style>
  <w:style w:type="paragraph" w:styleId="311" w:customStyle="1">
    <w:name w:val="Список 31"/>
    <w:basedOn w:val="Normal"/>
    <w:qFormat/>
    <w:rsid w:val="006e6b6f"/>
    <w:pPr>
      <w:numPr>
        <w:ilvl w:val="0"/>
        <w:numId w:val="2"/>
      </w:numPr>
      <w:spacing w:lineRule="auto" w:line="240" w:before="120" w:after="0"/>
      <w:jc w:val="both"/>
    </w:pPr>
    <w:rPr>
      <w:rFonts w:ascii="Garamond" w:hAnsi="Garamond"/>
      <w:sz w:val="24"/>
      <w:szCs w:val="20"/>
    </w:rPr>
  </w:style>
  <w:style w:type="paragraph" w:styleId="22" w:customStyle="1">
    <w:name w:val="Нумерованный список ур2"/>
    <w:basedOn w:val="Normal"/>
    <w:qFormat/>
    <w:rsid w:val="006e6b6f"/>
    <w:pPr>
      <w:numPr>
        <w:ilvl w:val="1"/>
        <w:numId w:val="2"/>
      </w:numPr>
      <w:spacing w:lineRule="auto" w:line="240" w:before="120" w:after="0"/>
      <w:jc w:val="both"/>
    </w:pPr>
    <w:rPr>
      <w:rFonts w:ascii="Garamond" w:hAnsi="Garamond"/>
      <w:sz w:val="24"/>
      <w:szCs w:val="20"/>
    </w:rPr>
  </w:style>
  <w:style w:type="paragraph" w:styleId="NormalWeb">
    <w:name w:val="Normal (Web)"/>
    <w:basedOn w:val="Normal"/>
    <w:uiPriority w:val="99"/>
    <w:qFormat/>
    <w:rsid w:val="006e6b6f"/>
    <w:pPr>
      <w:spacing w:lineRule="auto" w:line="240" w:before="30" w:after="30"/>
    </w:pPr>
    <w:rPr>
      <w:rFonts w:ascii="Arial" w:hAnsi="Arial" w:eastAsia="Arial Unicode MS" w:cs="Arial"/>
      <w:color w:val="332E2D"/>
      <w:spacing w:val="2"/>
      <w:sz w:val="24"/>
      <w:szCs w:val="24"/>
    </w:rPr>
  </w:style>
  <w:style w:type="paragraph" w:styleId="33" w:customStyle="1">
    <w:name w:val="Знак Знак3 Знак Знак"/>
    <w:basedOn w:val="Normal"/>
    <w:qFormat/>
    <w:rsid w:val="006e6b6f"/>
    <w:pPr>
      <w:spacing w:lineRule="exact" w:line="240" w:before="0" w:after="160"/>
      <w:jc w:val="both"/>
    </w:pPr>
    <w:rPr>
      <w:rFonts w:ascii="Verdana" w:hAnsi="Verdana" w:cs="Verdana"/>
      <w:lang w:val="en-US"/>
    </w:rPr>
  </w:style>
  <w:style w:type="paragraph" w:styleId="Style30" w:customStyle="1">
    <w:name w:val="Пункт"/>
    <w:basedOn w:val="Normal"/>
    <w:qFormat/>
    <w:rsid w:val="006e6b6f"/>
    <w:pPr>
      <w:widowControl w:val="false"/>
      <w:tabs>
        <w:tab w:val="clear" w:pos="708"/>
        <w:tab w:val="left" w:pos="1134" w:leader="none"/>
      </w:tabs>
      <w:spacing w:lineRule="auto" w:line="360" w:before="120" w:after="0"/>
      <w:ind w:left="1134" w:right="800" w:hanging="1134"/>
      <w:jc w:val="both"/>
    </w:pPr>
    <w:rPr>
      <w:rFonts w:ascii="Arial" w:hAnsi="Arial"/>
      <w:b/>
      <w:i/>
      <w:sz w:val="28"/>
      <w:szCs w:val="20"/>
    </w:rPr>
  </w:style>
  <w:style w:type="paragraph" w:styleId="23" w:customStyle="1">
    <w:name w:val="Абзац списка2"/>
    <w:basedOn w:val="Normal"/>
    <w:qFormat/>
    <w:rsid w:val="006e6b6f"/>
    <w:pPr>
      <w:spacing w:before="0" w:after="200"/>
      <w:ind w:left="720" w:hanging="0"/>
      <w:contextualSpacing/>
    </w:pPr>
    <w:rPr/>
  </w:style>
  <w:style w:type="paragraph" w:styleId="BodyTextIndent">
    <w:name w:val="Body Text Indent"/>
    <w:basedOn w:val="Normal"/>
    <w:link w:val="Style13"/>
    <w:rsid w:val="006e6b6f"/>
    <w:pPr>
      <w:spacing w:lineRule="auto" w:line="240" w:before="0" w:after="120"/>
      <w:ind w:left="283" w:hanging="0"/>
    </w:pPr>
    <w:rPr>
      <w:rFonts w:ascii="Times New Roman" w:hAnsi="Times New Roman"/>
      <w:sz w:val="28"/>
      <w:szCs w:val="28"/>
    </w:rPr>
  </w:style>
  <w:style w:type="paragraph" w:styleId="Style31" w:customStyle="1">
    <w:name w:val="Знак Знак"/>
    <w:basedOn w:val="Normal"/>
    <w:qFormat/>
    <w:rsid w:val="006e6b6f"/>
    <w:pPr>
      <w:spacing w:lineRule="exact" w:line="240" w:before="0" w:after="160"/>
    </w:pPr>
    <w:rPr>
      <w:rFonts w:ascii="Verdana" w:hAnsi="Verdana" w:cs="Verdana"/>
      <w:sz w:val="20"/>
      <w:szCs w:val="20"/>
      <w:lang w:val="en-US" w:eastAsia="en-US"/>
    </w:rPr>
  </w:style>
  <w:style w:type="paragraph" w:styleId="TOC3">
    <w:name w:val="TOC 3"/>
    <w:basedOn w:val="Normal"/>
    <w:next w:val="Normal"/>
    <w:autoRedefine/>
    <w:uiPriority w:val="39"/>
    <w:unhideWhenUsed/>
    <w:rsid w:val="006e6b6f"/>
    <w:pPr>
      <w:spacing w:before="0" w:after="100"/>
      <w:ind w:left="440" w:hanging="0"/>
    </w:pPr>
    <w:rPr/>
  </w:style>
  <w:style w:type="paragraph" w:styleId="62" w:customStyle="1">
    <w:name w:val="Основной текст (6)"/>
    <w:basedOn w:val="Normal"/>
    <w:link w:val="61"/>
    <w:qFormat/>
    <w:rsid w:val="006e6b6f"/>
    <w:pPr>
      <w:widowControl w:val="false"/>
      <w:shd w:val="clear" w:color="auto" w:fill="FFFFFF"/>
      <w:spacing w:lineRule="auto" w:line="240" w:before="0" w:after="0"/>
      <w:ind w:firstLine="720"/>
      <w:jc w:val="both"/>
    </w:pPr>
    <w:rPr>
      <w:rFonts w:ascii="Times New Roman" w:hAnsi="Times New Roman" w:eastAsia="Calibri" w:cs="" w:cstheme="minorBidi" w:eastAsiaTheme="minorHAnsi"/>
      <w:lang w:eastAsia="en-US"/>
    </w:rPr>
  </w:style>
  <w:style w:type="paragraph" w:styleId="TableListParagraph" w:customStyle="1">
    <w:name w:val="Table List Paragraph"/>
    <w:basedOn w:val="Normal"/>
    <w:qFormat/>
    <w:rsid w:val="006e6b6f"/>
    <w:pPr>
      <w:numPr>
        <w:ilvl w:val="0"/>
        <w:numId w:val="12"/>
      </w:numPr>
      <w:tabs>
        <w:tab w:val="clear" w:pos="708"/>
        <w:tab w:val="left" w:pos="360" w:leader="none"/>
      </w:tabs>
      <w:spacing w:lineRule="auto" w:line="240" w:before="0" w:after="0"/>
      <w:jc w:val="both"/>
    </w:pPr>
    <w:rPr>
      <w:rFonts w:ascii="Times New Roman" w:hAnsi="Times New Roman"/>
      <w:sz w:val="24"/>
      <w:szCs w:val="24"/>
    </w:rPr>
  </w:style>
  <w:style w:type="paragraph" w:styleId="Style32" w:customStyle="1">
    <w:name w:val="РГ_номер текста табл"/>
    <w:basedOn w:val="ListParagraph"/>
    <w:qFormat/>
    <w:pPr>
      <w:numPr>
        <w:ilvl w:val="0"/>
        <w:numId w:val="13"/>
      </w:numPr>
      <w:spacing w:lineRule="auto" w:line="240" w:before="0" w:after="0"/>
      <w:contextualSpacing/>
      <w:jc w:val="both"/>
    </w:pPr>
    <w:rPr>
      <w:rFonts w:ascii="Book Antiqua" w:hAnsi="Book Antiqua" w:eastAsia="Calibri" w:cs="Book Antiqua"/>
      <w:sz w:val="24"/>
      <w:lang w:eastAsia="en-US"/>
    </w:rPr>
  </w:style>
  <w:style w:type="paragraph" w:styleId="Dt-p" w:customStyle="1">
    <w:name w:val="dt-p"/>
    <w:basedOn w:val="Normal"/>
    <w:qFormat/>
    <w:pPr>
      <w:spacing w:lineRule="auto" w:line="240" w:before="280" w:after="280"/>
    </w:pPr>
    <w:rPr>
      <w:rFonts w:ascii="Times New Roman" w:hAnsi="Times New Roman"/>
      <w:sz w:val="24"/>
      <w:szCs w:val="24"/>
    </w:rPr>
  </w:style>
  <w:style w:type="paragraph" w:styleId="Style33" w:customStyle="1">
    <w:name w:val="Содержимое врезки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a5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package" Target="embeddings/oleObject1.xlsx"/><Relationship Id="rId4" Type="http://schemas.openxmlformats.org/officeDocument/2006/relationships/image" Target="media/image2.wmf"/><Relationship Id="rId5" Type="http://schemas.openxmlformats.org/officeDocument/2006/relationships/image" Target="media/image3.png"/><Relationship Id="rId6" Type="http://schemas.openxmlformats.org/officeDocument/2006/relationships/image" Target="media/image4.png"/><Relationship Id="rId7" Type="http://schemas.openxmlformats.org/officeDocument/2006/relationships/footnotes" Target="footnotes.xml"/><Relationship Id="rId8" Type="http://schemas.openxmlformats.org/officeDocument/2006/relationships/numbering" Target="numbering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
</Relationships>
</file>

<file path=word/_rels/footnotes.xml.rels><?xml version="1.0" encoding="UTF-8"?>
<Relationships xmlns="http://schemas.openxmlformats.org/package/2006/relationships"><Relationship Id="rId1" Type="http://schemas.openxmlformats.org/officeDocument/2006/relationships/hyperlink" Target="http://grandsmeta82.ru/znaj-kak/grand-smeta-baza-znanij/109-raschet-zatrat-na-energonositeli-elektroenergiyu-toplivo-i-pr-v-grand-smete.html" TargetMode="Externa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Application>AlterOffice/3.4.0.9$Linux_X86_64 LibreOffice_project/b8daf9e823b1a5463a2f48435ddc2e8696e7d4fc</Application>
  <AppVersion>15.0000</AppVersion>
  <Pages>22</Pages>
  <Words>5114</Words>
  <Characters>35593</Characters>
  <CharactersWithSpaces>41979</CharactersWithSpaces>
  <Paragraphs>592</Paragraphs>
  <Company>RusHydro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2022-12-09T06:24:00Z</dcterms:created>
  <dc:creator>Митянина Наталия Анатольевна</dc:creator>
  <dc:description/>
  <dc:language>ru-RU</dc:language>
  <cp:lastModifiedBy>titovae@corp.gidroogk.com</cp:lastModifiedBy>
  <dcterms:modified xsi:type="dcterms:W3CDTF">2025-11-11T10:07:10Z</dcterms:modified>
  <cp:revision>44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